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4"/>
          <w:szCs w:val="24"/>
          <w:color w:val="auto"/>
        </w:rPr>
      </w:pPr>
    </w:p>
    <w:p>
      <w:pPr>
        <w:ind w:left="3240" w:right="1660" w:hanging="3167"/>
        <w:spacing w:after="0" w:line="412" w:lineRule="auto"/>
        <w:tabs>
          <w:tab w:leader="none" w:pos="4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001-42303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8"/>
                <w:szCs w:val="18"/>
                <w:color w:val="auto"/>
                <w:w w:val="98"/>
              </w:rPr>
              <w:t>Delaware</w:t>
            </w:r>
          </w:p>
        </w:tc>
        <w:tc>
          <w:tcPr>
            <w:tcW w:w="3540" w:type="dxa"/>
            <w:vAlign w:val="bottom"/>
          </w:tcPr>
          <w:p>
            <w:pPr>
              <w:jc w:val="right"/>
              <w:ind w:right="444"/>
              <w:spacing w:after="0"/>
              <w:rPr>
                <w:sz w:val="20"/>
                <w:szCs w:val="20"/>
                <w:color w:val="auto"/>
              </w:rPr>
            </w:pPr>
            <w:r>
              <w:rPr>
                <w:rFonts w:ascii="Times New Roman" w:cs="Times New Roman" w:eastAsia="Times New Roman" w:hAnsi="Times New Roman"/>
                <w:sz w:val="18"/>
                <w:szCs w:val="18"/>
                <w:color w:val="auto"/>
              </w:rPr>
              <w:t>93-4440048</w:t>
            </w:r>
          </w:p>
        </w:tc>
      </w:tr>
      <w:tr>
        <w:trPr>
          <w:trHeight w:val="155"/>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540" w:type="dxa"/>
            <w:vAlign w:val="bottom"/>
          </w:tcPr>
          <w:p>
            <w:pPr>
              <w:jc w:val="center"/>
              <w:ind w:left="154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166"/>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540" w:type="dxa"/>
            <w:vAlign w:val="bottom"/>
          </w:tcPr>
          <w:p>
            <w:pPr>
              <w:spacing w:after="0"/>
              <w:rPr>
                <w:sz w:val="14"/>
                <w:szCs w:val="14"/>
                <w:color w:val="auto"/>
              </w:rPr>
            </w:pPr>
          </w:p>
        </w:tc>
      </w:tr>
      <w:tr>
        <w:trPr>
          <w:trHeight w:val="200"/>
        </w:trPr>
        <w:tc>
          <w:tcPr>
            <w:tcW w:w="4360" w:type="dxa"/>
            <w:vAlign w:val="bottom"/>
          </w:tcPr>
          <w:p>
            <w:pPr>
              <w:jc w:val="center"/>
              <w:ind w:right="1544"/>
              <w:spacing w:after="0" w:line="201" w:lineRule="exact"/>
              <w:rPr>
                <w:sz w:val="20"/>
                <w:szCs w:val="20"/>
                <w:color w:val="auto"/>
              </w:rPr>
            </w:pPr>
            <w:r>
              <w:rPr>
                <w:rFonts w:ascii="Times New Roman" w:cs="Times New Roman" w:eastAsia="Times New Roman" w:hAnsi="Times New Roman"/>
                <w:sz w:val="18"/>
                <w:szCs w:val="18"/>
                <w:color w:val="auto"/>
                <w:w w:val="99"/>
              </w:rPr>
              <w:t>6900 Tavistock Lakes Blvd, Suite 400</w:t>
            </w:r>
          </w:p>
        </w:tc>
        <w:tc>
          <w:tcPr>
            <w:tcW w:w="3540" w:type="dxa"/>
            <w:vAlign w:val="bottom"/>
          </w:tcPr>
          <w:p>
            <w:pPr>
              <w:spacing w:after="0"/>
              <w:rPr>
                <w:sz w:val="17"/>
                <w:szCs w:val="17"/>
                <w:color w:val="auto"/>
              </w:rPr>
            </w:pPr>
          </w:p>
        </w:tc>
      </w:tr>
      <w:tr>
        <w:trPr>
          <w:trHeight w:val="234"/>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8"/>
                <w:szCs w:val="18"/>
                <w:color w:val="auto"/>
                <w:w w:val="99"/>
              </w:rPr>
              <w:t>Orlando, Florida</w:t>
            </w:r>
          </w:p>
        </w:tc>
        <w:tc>
          <w:tcPr>
            <w:tcW w:w="3540" w:type="dxa"/>
            <w:vAlign w:val="bottom"/>
          </w:tcPr>
          <w:p>
            <w:pPr>
              <w:jc w:val="right"/>
              <w:ind w:right="644"/>
              <w:spacing w:after="0"/>
              <w:rPr>
                <w:sz w:val="20"/>
                <w:szCs w:val="20"/>
                <w:color w:val="auto"/>
              </w:rPr>
            </w:pPr>
            <w:r>
              <w:rPr>
                <w:rFonts w:ascii="Times New Roman" w:cs="Times New Roman" w:eastAsia="Times New Roman" w:hAnsi="Times New Roman"/>
                <w:sz w:val="18"/>
                <w:szCs w:val="18"/>
                <w:color w:val="auto"/>
              </w:rPr>
              <w:t>32827</w:t>
            </w:r>
          </w:p>
        </w:tc>
      </w:tr>
      <w:tr>
        <w:trPr>
          <w:trHeight w:val="173"/>
        </w:trPr>
        <w:tc>
          <w:tcPr>
            <w:tcW w:w="4360" w:type="dxa"/>
            <w:vAlign w:val="bottom"/>
          </w:tcPr>
          <w:p>
            <w:pPr>
              <w:jc w:val="center"/>
              <w:ind w:right="15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540" w:type="dxa"/>
            <w:vAlign w:val="bottom"/>
          </w:tcPr>
          <w:p>
            <w:pPr>
              <w:jc w:val="center"/>
              <w:ind w:left="15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(321) 209-6787</w:t>
      </w:r>
    </w:p>
    <w:p>
      <w:pPr>
        <w:spacing w:after="0" w:line="28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8"/>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8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62" w:lineRule="exact"/>
        <w:rPr>
          <w:sz w:val="24"/>
          <w:szCs w:val="24"/>
          <w:color w:val="auto"/>
        </w:rPr>
      </w:pPr>
    </w:p>
    <w:p>
      <w:pPr>
        <w:jc w:val="both"/>
        <w:ind w:firstLine="588"/>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1" w:lineRule="exact"/>
        <w:rPr>
          <w:sz w:val="24"/>
          <w:szCs w:val="24"/>
          <w:color w:val="auto"/>
        </w:rPr>
      </w:pPr>
    </w:p>
    <w:p>
      <w:pPr>
        <w:jc w:val="both"/>
        <w:ind w:firstLine="588"/>
        <w:spacing w:after="0" w:line="18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jc w:val="both"/>
        <w:ind w:firstLine="588"/>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9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November 12, 2024, the registrant had 49,547,673 shares of common stock, $0.0001 par value per share,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72" w:right="1440" w:bottom="1440" w:gutter="0" w:footer="0" w:header="0"/>
        </w:sectPr>
      </w:pPr>
    </w:p>
    <w:bookmarkStart w:id="2" w:name="page3"/>
    <w:bookmarkEnd w:id="2"/>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040" w:type="dxa"/>
            <w:vAlign w:val="bottom"/>
            <w:gridSpan w:val="3"/>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1680" w:type="dxa"/>
            <w:vAlign w:val="bottom"/>
            <w:vMerge w:val="continue"/>
          </w:tcPr>
          <w:p>
            <w:pPr>
              <w:spacing w:after="0"/>
              <w:rPr>
                <w:sz w:val="24"/>
                <w:szCs w:val="24"/>
                <w:color w:val="auto"/>
              </w:rPr>
            </w:pPr>
          </w:p>
        </w:tc>
        <w:tc>
          <w:tcPr>
            <w:tcW w:w="2260" w:type="dxa"/>
            <w:vAlign w:val="bottom"/>
            <w:tcBorders>
              <w:bottom w:val="single" w:sz="8" w:color="0000FF"/>
            </w:tcBorders>
            <w:gridSpan w:val="7"/>
            <w:vMerge w:val="continue"/>
          </w:tcPr>
          <w:p>
            <w:pPr>
              <w:spacing w:after="0"/>
              <w:rPr>
                <w:sz w:val="24"/>
                <w:szCs w:val="24"/>
                <w:color w:val="auto"/>
              </w:rPr>
            </w:pPr>
          </w:p>
        </w:tc>
        <w:tc>
          <w:tcPr>
            <w:tcW w:w="604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(Unaudited) and December 31,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and nine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months ended September 30, 2024 and 2023 (Unaudited)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Mezzanine Capital for the three and nine months ended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September 30, 2024 and 2023 (Unaudited)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Unitholders' Deficit for the three and nine months ended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September 30, 2024 and 2023 (Unaudited)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(Unaudited)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6420" w:type="dxa"/>
            <w:vAlign w:val="bottom"/>
            <w:gridSpan w:val="4"/>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9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980" w:type="dxa"/>
            <w:vAlign w:val="bottom"/>
            <w:gridSpan w:val="2"/>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0"/>
                <w:szCs w:val="20"/>
                <w:color w:val="auto"/>
              </w:rPr>
            </w:pPr>
          </w:p>
        </w:tc>
        <w:tc>
          <w:tcPr>
            <w:tcW w:w="6540" w:type="dxa"/>
            <w:vAlign w:val="bottom"/>
            <w:gridSpan w:val="5"/>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7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including statements about the Company’s business model, the financial condition, results of operation, earnings outlook and its and its operating companies’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214" w:lineRule="exact"/>
        <w:rPr>
          <w:sz w:val="20"/>
          <w:szCs w:val="20"/>
          <w:color w:val="auto"/>
        </w:rPr>
      </w:pPr>
    </w:p>
    <w:p>
      <w:pPr>
        <w:ind w:right="240" w:firstLine="648"/>
        <w:spacing w:after="0" w:line="241"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Quarterly Report on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discussed and identified in other public filings made with the Securities and Exchange Commission by the Company and the following:</w:t>
      </w:r>
    </w:p>
    <w:p>
      <w:pPr>
        <w:spacing w:after="0" w:line="211" w:lineRule="exact"/>
        <w:rPr>
          <w:sz w:val="20"/>
          <w:szCs w:val="20"/>
          <w:color w:val="auto"/>
        </w:rPr>
      </w:pPr>
    </w:p>
    <w:p>
      <w:pPr>
        <w:ind w:left="660" w:right="60" w:hanging="328"/>
        <w:spacing w:after="0"/>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w:t>
      </w:r>
    </w:p>
    <w:p>
      <w:pPr>
        <w:spacing w:after="0" w:line="23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including the available cash and performance targets, and access any of the installments draws under the WTI line of credit;</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and satisfy the various limitations under the Standby Equity Purchase Agreement (the “SEPA”) with YA II PN, Ltd., including exchange caps, issuances and subscriptions based on trading volumes, to access the funds available under the SEPA;</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Innventure will have sufficient capital following the completion of the business combination to operate as anticipated;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obtain funding for its operations and future growth;</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238"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Innventure Companies’ ability to meet, and to continue to meet, applicable regulatory requirements for the use of their products and the numerous regulatory requirements generally applicable to their products and facilities;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Innventure in connection with the completion of the business combination;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(“MNCs”) and to satisfy the requirements imposed by or to avoid disagreements with its current and future MNC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61" w:lineRule="exact"/>
        <w:rPr>
          <w:sz w:val="20"/>
          <w:szCs w:val="20"/>
          <w:color w:val="auto"/>
        </w:rPr>
      </w:pPr>
    </w:p>
    <w:p>
      <w:pPr>
        <w:ind w:left="660" w:right="8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which would impose burdensome compliance requirements and restrictions on its activities;</w:t>
      </w:r>
    </w:p>
    <w:p>
      <w:pPr>
        <w:spacing w:after="0" w:line="189"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rights of itself and its subsidiaries, and to avoid or resolve in a timely and cost-effective manner any disputes that may arise relating to its use of the intellectual property of third parties;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related to the business combination;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its subsidiaries.</w:t>
      </w:r>
    </w:p>
    <w:p>
      <w:pPr>
        <w:spacing w:after="0" w:line="34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Quarterly Report on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 2024 (the “Closing Date”), Learn CW Investment Corporation, a Cayman Islands exempted company (both prior to and after the Closing Date, “Learn CW”) and Innventure LLC, a Delaware limited liability company, consummated a business combination (the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w:t>
      </w:r>
    </w:p>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and direct, wholly-owned subsidiary of Holdco (“Innventure Merger Sub” and, together with LCW Merger Sub, the “Merger Subs”). Following the closing of the business combination (the "Closing"), each of Learn CW and Innventure LLC are subsidiaries of Holdco, and Holdco became a publicly traded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At the Closing of the business combination, Holdco changed its name to “Innventure, Inc.”</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covered in this Quarterly Report on Form 10-Q of Innventure for the quarterly period ended September 30, 2024 ("Form 10-Q") present the financial condition and results of operations of Innventure’s predecessor, Innventure LLC and its subsidiaries (together, the “Predecessor”), which operated the majority of the historical business and was identified as the acquirer and predecessor upon consummation of the business combination.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Innventure did not conduct any activity prior to the business combination and the Predecessor became a subsidiary of Innventure upon Closing of the various transactions completed concurrently with the business combination. The information provided in Part I Item 1 of this Quarterly Report on Form 10-Q only reflects the financial condition and results of operations of the Predecessor as of September 30, 2024 and December 31, 2023 and for the three and nine months ended September 30, 2024 and 2023. Because the business combination was completed subsequent to the end of the period covered by this Form 10-Q, the information provided herein regarding the Predecessor does not include financial or other information regarding the other entities who were parties to the business combination or whose assets became part of the business combination, including Learn CW. Financial information surrounding Learn CW is included in Exhibit 99.1 to this Form 10-Q. The condensed combined financial data for the Predecessor is not necessarily indicative of Innventure’s results of operations, cash flows or financial position following the completion of the business combination and related formation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w:t>
      </w:r>
      <w:r>
        <w:rPr>
          <w:rFonts w:ascii="Times New Roman" w:cs="Times New Roman" w:eastAsia="Times New Roman" w:hAnsi="Times New Roman"/>
          <w:sz w:val="18"/>
          <w:szCs w:val="18"/>
          <w:i w:val="1"/>
          <w:iCs w:val="1"/>
          <w:color w:val="auto"/>
        </w:rPr>
        <w:t>Part II—Item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 Risk Factors</w:t>
      </w:r>
      <w:r>
        <w:rPr>
          <w:rFonts w:ascii="Times New Roman" w:cs="Times New Roman" w:eastAsia="Times New Roman" w:hAnsi="Times New Roman"/>
          <w:sz w:val="18"/>
          <w:szCs w:val="18"/>
          <w:color w:val="auto"/>
        </w:rPr>
        <w:t>” of this Form 10-Q. Some of these principal risks include the following:</w:t>
      </w:r>
    </w:p>
    <w:p>
      <w:pPr>
        <w:spacing w:after="0" w:line="228" w:lineRule="exact"/>
        <w:rPr>
          <w:sz w:val="20"/>
          <w:szCs w:val="20"/>
          <w:color w:val="auto"/>
        </w:rPr>
      </w:pPr>
    </w:p>
    <w:p>
      <w:pPr>
        <w:ind w:left="660" w:right="6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principal revenues are expected to be earned in the future through its subsidiaries and through AeroFlexx and Accelsius, and Innventure depends on its subsidiaries for cash.</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may not be successful in finding future opportunities to license or acquire breakthrough technology solutions from MNCs.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Innventure Companies are currently early commercial stage companies that may never achieve or sustain profitability.</w:t>
      </w:r>
    </w:p>
    <w:p>
      <w:pPr>
        <w:spacing w:after="0" w:line="265" w:lineRule="exact"/>
        <w:rPr>
          <w:rFonts w:ascii="Arial" w:cs="Arial" w:eastAsia="Arial" w:hAnsi="Arial"/>
          <w:sz w:val="22"/>
          <w:szCs w:val="22"/>
          <w:color w:val="auto"/>
        </w:rPr>
      </w:pPr>
    </w:p>
    <w:p>
      <w:pPr>
        <w:ind w:left="660" w:right="160" w:hanging="328"/>
        <w:spacing w:after="0" w:line="246"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If Innventure or the Innventure Companies are not able to satisfy the requirements imposed by MNC partners or have disagreements with those MNC partners, their relationships with these partners could deteriorate, which could have a material adverse effect on the business of Innventure and the Innventure Companies.</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may not be able to obtain additional financing to fund the operations and growth of the business.</w:t>
      </w:r>
    </w:p>
    <w:p>
      <w:pPr>
        <w:spacing w:after="0" w:line="25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WTI Facility may impair Innventure LLC’s, Innventure’s and the Operating Companies’ (as defined below) financial and operating flexibility.</w:t>
      </w:r>
    </w:p>
    <w:p>
      <w:pPr>
        <w:spacing w:after="0" w:line="265" w:lineRule="exact"/>
        <w:rPr>
          <w:rFonts w:ascii="Arial" w:cs="Arial" w:eastAsia="Arial" w:hAnsi="Arial"/>
          <w:sz w:val="21"/>
          <w:szCs w:val="21"/>
          <w:color w:val="auto"/>
        </w:rPr>
      </w:pPr>
    </w:p>
    <w:p>
      <w:pPr>
        <w:ind w:left="660" w:right="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It is not possible to predict the actual number of shares Innventure will sell under the SEPA with YA II PN, LTD. ("Yorkville"), or the actual gross proceeds resulting from those sales.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is not possible to predict the extent to which Innventure will, intends to, or may rely on Yorkville and the SEPA as a source of funding.</w:t>
      </w:r>
    </w:p>
    <w:p>
      <w:pPr>
        <w:spacing w:after="0" w:line="265" w:lineRule="exact"/>
        <w:rPr>
          <w:rFonts w:ascii="Times New Roman" w:cs="Times New Roman" w:eastAsia="Times New Roman" w:hAnsi="Times New Roman"/>
          <w:sz w:val="22"/>
          <w:szCs w:val="22"/>
          <w:color w:val="auto"/>
        </w:rPr>
      </w:pPr>
    </w:p>
    <w:p>
      <w:pPr>
        <w:ind w:left="660" w:right="160" w:hanging="328"/>
        <w:spacing w:after="0" w:line="24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261"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There is uncertainty regarding Innventure’s ability to maintain liquidity sufficient to operate its business effectively, which raises substantial doubt about its ability to continue as a going concern.</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price of our common stock is likely to be highly volatile, and you may lose some or all of your investment.</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Volatility in Innventure’s share price could subject Innventure to securities class action litigation.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shares of our common stock may depress its stock price.</w:t>
      </w:r>
    </w:p>
    <w:p>
      <w:pPr>
        <w:spacing w:after="0" w:line="265" w:lineRule="exact"/>
        <w:rPr>
          <w:rFonts w:ascii="Arial" w:cs="Arial" w:eastAsia="Arial" w:hAnsi="Arial"/>
          <w:sz w:val="22"/>
          <w:szCs w:val="22"/>
          <w:color w:val="auto"/>
        </w:rPr>
      </w:pPr>
    </w:p>
    <w:p>
      <w:pPr>
        <w:ind w:left="660" w:right="360" w:hanging="328"/>
        <w:spacing w:after="0" w:line="234"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Provisions in our Amended and Restated Certificate of Incorporation (the “A&amp;R Certificate of Incorporation”) and under Delaware law could discourage a takeover that stockholders may consider favorable and may lead to entrenchment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315" w:lineRule="exact"/>
        <w:rPr>
          <w:sz w:val="20"/>
          <w:szCs w:val="20"/>
          <w:color w:val="auto"/>
        </w:rPr>
      </w:pPr>
    </w:p>
    <w:p>
      <w:pPr>
        <w:ind w:left="328" w:right="760" w:hanging="328"/>
        <w:spacing w:after="0" w:line="256" w:lineRule="auto"/>
        <w:tabs>
          <w:tab w:leader="none" w:pos="323"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Innventure is an emerging growth company and smaller reporting company, and Innventure cannot be certain if the reduced reporting requirements applicable to emerging growth companies and smaller reporting companies will make its shares less attractive to investors.</w:t>
      </w:r>
    </w:p>
    <w:p>
      <w:pPr>
        <w:spacing w:after="0" w:line="249" w:lineRule="exact"/>
        <w:rPr>
          <w:rFonts w:ascii="Arial" w:cs="Arial" w:eastAsia="Arial" w:hAnsi="Arial"/>
          <w:sz w:val="21"/>
          <w:szCs w:val="21"/>
          <w:color w:val="auto"/>
        </w:rPr>
      </w:pPr>
    </w:p>
    <w:p>
      <w:pPr>
        <w:ind w:left="328" w:right="4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Future offerings of debt or offerings or issuances of equity securities by the Innventure may adversely affect the market price of the common stock or otherwise dilute all other stockholders.</w:t>
      </w:r>
    </w:p>
    <w:p>
      <w:pPr>
        <w:spacing w:after="0" w:line="267" w:lineRule="exact"/>
        <w:rPr>
          <w:rFonts w:ascii="Arial" w:cs="Arial" w:eastAsia="Arial" w:hAnsi="Arial"/>
          <w:sz w:val="22"/>
          <w:szCs w:val="22"/>
          <w:color w:val="auto"/>
        </w:rPr>
      </w:pPr>
    </w:p>
    <w:p>
      <w:pPr>
        <w:ind w:left="328" w:right="70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267" w:lineRule="exact"/>
        <w:rPr>
          <w:rFonts w:ascii="Arial" w:cs="Arial" w:eastAsia="Arial" w:hAnsi="Arial"/>
          <w:sz w:val="22"/>
          <w:szCs w:val="22"/>
          <w:color w:val="auto"/>
        </w:rPr>
      </w:pPr>
    </w:p>
    <w:p>
      <w:pPr>
        <w:ind w:left="328" w:right="140" w:hanging="328"/>
        <w:spacing w:after="0" w:line="246"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LLC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261" w:lineRule="exact"/>
        <w:rPr>
          <w:rFonts w:ascii="Arial" w:cs="Arial" w:eastAsia="Arial" w:hAnsi="Arial"/>
          <w:sz w:val="22"/>
          <w:szCs w:val="22"/>
          <w:color w:val="auto"/>
        </w:rPr>
      </w:pPr>
    </w:p>
    <w:p>
      <w:pPr>
        <w:ind w:left="328" w:right="80" w:hanging="328"/>
        <w:spacing w:after="0" w:line="239" w:lineRule="auto"/>
        <w:tabs>
          <w:tab w:leader="none" w:pos="32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Innventure is deemed to be an investment company under the Investment Company Act of 1940 (the “Investment Company Act”), it may be required to institute burdensome compliance requirements and its activities may be restricted, which may make it difficult to operate or to execute its growth plans.</w:t>
      </w:r>
    </w:p>
    <w:p>
      <w:pPr>
        <w:spacing w:after="0" w:line="248"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AFX currently relies on a single facility for all of its operations.</w:t>
      </w:r>
    </w:p>
    <w:p>
      <w:pPr>
        <w:spacing w:after="0" w:line="265" w:lineRule="exact"/>
        <w:rPr>
          <w:rFonts w:ascii="Arial" w:cs="Arial" w:eastAsia="Arial" w:hAnsi="Arial"/>
          <w:sz w:val="22"/>
          <w:szCs w:val="22"/>
          <w:color w:val="auto"/>
        </w:rPr>
      </w:pPr>
    </w:p>
    <w:p>
      <w:pPr>
        <w:ind w:left="328" w:right="440" w:hanging="328"/>
        <w:spacing w:after="0" w:line="239"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267" w:lineRule="exact"/>
        <w:rPr>
          <w:rFonts w:ascii="Arial" w:cs="Arial" w:eastAsia="Arial" w:hAnsi="Arial"/>
          <w:sz w:val="22"/>
          <w:szCs w:val="22"/>
          <w:color w:val="auto"/>
        </w:rPr>
      </w:pPr>
    </w:p>
    <w:p>
      <w:pPr>
        <w:ind w:left="328" w:right="54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AFX’s ability to establish substantial commercial sales of its products is subject to many risks, any of which could prevent or delay revenue growth and adversely impact its customer relationships, business and results of operations.</w:t>
      </w:r>
    </w:p>
    <w:p>
      <w:pPr>
        <w:spacing w:after="0" w:line="267" w:lineRule="exact"/>
        <w:rPr>
          <w:rFonts w:ascii="Arial" w:cs="Arial" w:eastAsia="Arial" w:hAnsi="Arial"/>
          <w:sz w:val="22"/>
          <w:szCs w:val="22"/>
          <w:color w:val="auto"/>
        </w:rPr>
      </w:pPr>
    </w:p>
    <w:p>
      <w:pPr>
        <w:jc w:val="both"/>
        <w:ind w:left="328" w:right="580" w:hanging="328"/>
        <w:spacing w:after="0" w:line="246"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261" w:lineRule="exact"/>
        <w:rPr>
          <w:rFonts w:ascii="Arial" w:cs="Arial" w:eastAsia="Arial" w:hAnsi="Arial"/>
          <w:sz w:val="22"/>
          <w:szCs w:val="22"/>
          <w:color w:val="auto"/>
        </w:rPr>
      </w:pPr>
    </w:p>
    <w:p>
      <w:pPr>
        <w:ind w:left="328" w:right="20"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Accelsius is an early-stage company, and its limited operating history makes it difficult to evaluate its future prospects and the risks and challenges it may encounter.</w:t>
      </w:r>
    </w:p>
    <w:p>
      <w:pPr>
        <w:spacing w:after="0" w:line="267" w:lineRule="exact"/>
        <w:rPr>
          <w:rFonts w:ascii="Arial" w:cs="Arial" w:eastAsia="Arial" w:hAnsi="Arial"/>
          <w:sz w:val="22"/>
          <w:szCs w:val="22"/>
          <w:color w:val="auto"/>
        </w:rPr>
      </w:pPr>
    </w:p>
    <w:p>
      <w:pPr>
        <w:ind w:left="328" w:hanging="328"/>
        <w:spacing w:after="0" w:line="234" w:lineRule="auto"/>
        <w:tabs>
          <w:tab w:leader="none" w:pos="323"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cooling products because they are based on a relatively novel and complex technology.</w:t>
      </w:r>
    </w:p>
    <w:p>
      <w:pPr>
        <w:spacing w:after="0" w:line="248" w:lineRule="exact"/>
        <w:rPr>
          <w:rFonts w:ascii="Arial" w:cs="Arial" w:eastAsia="Arial" w:hAnsi="Arial"/>
          <w:sz w:val="22"/>
          <w:szCs w:val="22"/>
          <w:color w:val="auto"/>
        </w:rPr>
      </w:pPr>
    </w:p>
    <w:p>
      <w:pPr>
        <w:ind w:left="328" w:hanging="328"/>
        <w:spacing w:after="0"/>
        <w:tabs>
          <w:tab w:leader="none" w:pos="328"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Accelsius’ cooling products may be subject to increased regulatory scrutiny due to their use of working fluid refrigerants that contain fluorine.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8" w:name="page9"/>
    <w:bookmarkEnd w:id="8"/>
    <w:p>
      <w:pPr>
        <w:spacing w:after="0" w:line="72" w:lineRule="exact"/>
        <w:rPr>
          <w:sz w:val="20"/>
          <w:szCs w:val="20"/>
          <w:color w:val="auto"/>
        </w:rPr>
      </w:pPr>
    </w:p>
    <w:p>
      <w:pPr>
        <w:ind w:left="328" w:hanging="328"/>
        <w:spacing w:after="0" w:line="234"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may be unable to sufficiently protect the intellectual property rights of itself and the Innventure Companies and may encounter disputes from time to time relating to its use of the intellectual property of third parties.</w:t>
      </w:r>
    </w:p>
    <w:p>
      <w:pPr>
        <w:spacing w:after="0" w:line="267" w:lineRule="exact"/>
        <w:rPr>
          <w:rFonts w:ascii="Arial" w:cs="Arial" w:eastAsia="Arial" w:hAnsi="Arial"/>
          <w:sz w:val="22"/>
          <w:szCs w:val="22"/>
          <w:color w:val="auto"/>
        </w:rPr>
      </w:pPr>
    </w:p>
    <w:p>
      <w:pPr>
        <w:ind w:left="328" w:hanging="328"/>
        <w:spacing w:after="0" w:line="239"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267" w:lineRule="exact"/>
        <w:rPr>
          <w:rFonts w:ascii="Arial" w:cs="Arial" w:eastAsia="Arial" w:hAnsi="Arial"/>
          <w:sz w:val="22"/>
          <w:szCs w:val="22"/>
          <w:color w:val="auto"/>
        </w:rPr>
      </w:pPr>
    </w:p>
    <w:p>
      <w:pPr>
        <w:ind w:left="328" w:right="60" w:hanging="328"/>
        <w:spacing w:after="0" w:line="234"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Cyber-attacks or a failure in Innventure’s information technology and data security infrastructure could adversely affect Innventure’s business and operations.</w:t>
      </w:r>
    </w:p>
    <w:p>
      <w:pPr>
        <w:spacing w:after="0" w:line="267" w:lineRule="exact"/>
        <w:rPr>
          <w:rFonts w:ascii="Arial" w:cs="Arial" w:eastAsia="Arial" w:hAnsi="Arial"/>
          <w:sz w:val="22"/>
          <w:szCs w:val="22"/>
          <w:color w:val="auto"/>
        </w:rPr>
      </w:pPr>
    </w:p>
    <w:p>
      <w:pPr>
        <w:ind w:left="328" w:right="240" w:hanging="328"/>
        <w:spacing w:after="0" w:line="244" w:lineRule="auto"/>
        <w:tabs>
          <w:tab w:leader="none" w:pos="323"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failure to timely and effectively implement controls and procedures required by Section 404(a) of the Sarbanes-Oxley Act of 2002 (“Sarbanes-Oxley Act”) could negatively impact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2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8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16,297</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Due from related parties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5,664</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14,167</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08"/>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55,731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21,564</w:t>
            </w:r>
          </w:p>
        </w:tc>
        <w:tc>
          <w:tcPr>
            <w:tcW w:w="0" w:type="dxa"/>
            <w:vAlign w:val="bottom"/>
          </w:tcPr>
          <w:p>
            <w:pPr>
              <w:spacing w:after="0"/>
              <w:rPr>
                <w:sz w:val="1"/>
                <w:szCs w:val="1"/>
                <w:color w:val="auto"/>
              </w:rPr>
            </w:pPr>
          </w:p>
        </w:tc>
      </w:tr>
      <w:tr>
        <w:trPr>
          <w:trHeight w:val="184"/>
        </w:trPr>
        <w:tc>
          <w:tcPr>
            <w:tcW w:w="8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Unitholders’ Capital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notes payable - current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 current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 installment payable - current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Liability for future preferred stock issuance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41,601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8,168</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promissory note, net</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promissory note due to related party, net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 derivative liability</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 installment payable, net of current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55,459</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29,420</w:t>
            </w:r>
          </w:p>
        </w:tc>
        <w:tc>
          <w:tcPr>
            <w:tcW w:w="0" w:type="dxa"/>
            <w:vAlign w:val="bottom"/>
          </w:tcPr>
          <w:p>
            <w:pPr>
              <w:spacing w:after="0"/>
              <w:rPr>
                <w:sz w:val="1"/>
                <w:szCs w:val="1"/>
                <w:color w:val="auto"/>
              </w:rPr>
            </w:pPr>
          </w:p>
        </w:tc>
      </w:tr>
      <w:tr>
        <w:trPr>
          <w:trHeight w:val="184"/>
        </w:trPr>
        <w:tc>
          <w:tcPr>
            <w:tcW w:w="8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Mezzanine Capital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Redeemable Class I Units, no par value, 1,000,000 units authorized, issued and outstanding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Redeemable Class PCTA Units, no par value, 3,982,675 units authorized, issued and outstanding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Unitholders' Deficit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32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Class B Preferred Units, no par value, 6,722,562 and 4,639,557 units authorized, 5,609,951 and 4,109,961 units issued and</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51,683</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B-1 Preferred Units, no par value, 2,600,000 units authorized, 342,608 units issued and outstanding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Units, no par value, 10,975,000 units authorized, 10,875,000 units issued and outstanding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C Units, no par value, 1,585,125 units authorized, 1,570,125 units issued and outstanding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(64,284)</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08"/>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Unitholders’ Deficit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(22,308)</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(18,486)</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Mezzanine Capital, and Unitholders' Deficit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55,731</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21,564</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 and Comprehensive Income (Loss)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7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Management fee income - related parties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Consulting revenue</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9,878</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w:t>
            </w: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14,601</w:t>
            </w:r>
          </w:p>
        </w:tc>
      </w:tr>
      <w:tr>
        <w:trPr>
          <w:trHeight w:val="270"/>
        </w:trPr>
        <w:tc>
          <w:tcPr>
            <w:tcW w:w="5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(13,708)</w:t>
            </w: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(Expense) and Income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gain on investments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gain on investments – due to related parties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embedded derivative liability</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 income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conversion of promissory notes</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Non-operating (Expense) Income</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6,033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(13,200)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(4,243)</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(7,641)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(26,481)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(17,951)</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Loss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8"/>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Innventure LLC Unitholders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(17,850)</w:t>
            </w:r>
          </w:p>
        </w:tc>
      </w:tr>
      <w:tr>
        <w:trPr>
          <w:trHeight w:val="252"/>
        </w:trPr>
        <w:tc>
          <w:tcPr>
            <w:tcW w:w="5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Class A Unitholders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(9,177)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(29,010)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(16,848)</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loss per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Basic weighted average Class A Units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10,875,000</w:t>
            </w:r>
          </w:p>
        </w:tc>
      </w:tr>
      <w:tr>
        <w:trPr>
          <w:trHeight w:val="239"/>
        </w:trPr>
        <w:tc>
          <w:tcPr>
            <w:tcW w:w="5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 on AFS debt securities - related party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loss, net of taxes</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8"/>
        </w:trPr>
        <w:tc>
          <w:tcPr>
            <w:tcW w:w="5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net of taxes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(18,916)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(17,951)</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Comprehensive Loss Attributable to Innventure LLC Unitholders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(17,850)</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Mezzanine Capital</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I Amount</w:t>
            </w:r>
          </w:p>
        </w:tc>
        <w:tc>
          <w:tcPr>
            <w:tcW w:w="140" w:type="dxa"/>
            <w:vAlign w:val="bottom"/>
          </w:tcPr>
          <w:p>
            <w:pPr>
              <w:spacing w:after="0"/>
              <w:rPr>
                <w:sz w:val="20"/>
                <w:szCs w:val="20"/>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 PCTA Amount</w:t>
            </w:r>
          </w:p>
        </w:tc>
        <w:tc>
          <w:tcPr>
            <w:tcW w:w="40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12,882</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r>
      <w:tr>
        <w:trPr>
          <w:trHeight w:val="229"/>
        </w:trPr>
        <w:tc>
          <w:tcPr>
            <w:tcW w:w="5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16,324</w:t>
            </w:r>
          </w:p>
        </w:tc>
      </w:tr>
      <w:tr>
        <w:trPr>
          <w:trHeight w:val="229"/>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20,370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23,908</w:t>
            </w:r>
          </w:p>
        </w:tc>
      </w:tr>
      <w:tr>
        <w:trPr>
          <w:trHeight w:val="229"/>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10,690</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13,759</w:t>
            </w:r>
          </w:p>
        </w:tc>
      </w:tr>
      <w:tr>
        <w:trPr>
          <w:trHeight w:val="250"/>
        </w:trPr>
        <w:tc>
          <w:tcPr>
            <w:tcW w:w="5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10,630</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11,853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15,045</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15,407</w:t>
            </w: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18,103</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22,580</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Unitholders' Deficit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Class B-1</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5"/>
        </w:trPr>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8"/>
                <w:szCs w:val="8"/>
                <w:color w:val="auto"/>
              </w:rPr>
            </w:pPr>
          </w:p>
        </w:tc>
        <w:tc>
          <w:tcPr>
            <w:tcW w:w="7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11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right="152"/>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2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Controlling Unitholders'</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
              <w:spacing w:after="0" w:line="162" w:lineRule="exact"/>
              <w:rPr>
                <w:sz w:val="20"/>
                <w:szCs w:val="20"/>
                <w:color w:val="auto"/>
              </w:rPr>
            </w:pPr>
            <w:r>
              <w:rPr>
                <w:rFonts w:ascii="Times New Roman" w:cs="Times New Roman" w:eastAsia="Times New Roman" w:hAnsi="Times New Roman"/>
                <w:sz w:val="18"/>
                <w:szCs w:val="18"/>
                <w:b w:val="1"/>
                <w:bCs w:val="1"/>
                <w:color w:val="auto"/>
                <w:w w:val="98"/>
              </w:rPr>
              <w:t>Preferred</w:t>
            </w:r>
          </w:p>
        </w:tc>
        <w:tc>
          <w:tcPr>
            <w:tcW w:w="140" w:type="dxa"/>
            <w:vAlign w:val="bottom"/>
          </w:tcPr>
          <w:p>
            <w:pPr>
              <w:spacing w:after="0"/>
              <w:rPr>
                <w:sz w:val="14"/>
                <w:szCs w:val="14"/>
                <w:color w:val="auto"/>
              </w:rPr>
            </w:pPr>
          </w:p>
        </w:tc>
        <w:tc>
          <w:tcPr>
            <w:tcW w:w="860" w:type="dxa"/>
            <w:vAlign w:val="bottom"/>
          </w:tcPr>
          <w:p>
            <w:pPr>
              <w:jc w:val="right"/>
              <w:ind w:right="30"/>
              <w:spacing w:after="0" w:line="162" w:lineRule="exact"/>
              <w:rPr>
                <w:sz w:val="20"/>
                <w:szCs w:val="20"/>
                <w:color w:val="auto"/>
              </w:rPr>
            </w:pPr>
            <w:r>
              <w:rPr>
                <w:rFonts w:ascii="Times New Roman" w:cs="Times New Roman" w:eastAsia="Times New Roman" w:hAnsi="Times New Roman"/>
                <w:sz w:val="18"/>
                <w:szCs w:val="18"/>
                <w:b w:val="1"/>
                <w:bCs w:val="1"/>
                <w:color w:val="auto"/>
                <w:w w:val="95"/>
              </w:rPr>
              <w:t>Preferred</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90"/>
              <w:spacing w:after="0" w:line="162"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units to NCI in exchange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45,688</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(73,918)</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11,543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(10,519)</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48,540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(81,568)</w:t>
            </w:r>
          </w:p>
        </w:tc>
        <w:tc>
          <w:tcPr>
            <w:tcW w:w="2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15,113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(2,373)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(90,952)</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w w:val="98"/>
              </w:rPr>
              <w:t>(2,373)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Unitholders' Deficit (continued)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Class B-1</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5"/>
        </w:trPr>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8"/>
                <w:szCs w:val="8"/>
                <w:color w:val="auto"/>
              </w:rPr>
            </w:pPr>
          </w:p>
        </w:tc>
        <w:tc>
          <w:tcPr>
            <w:tcW w:w="7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11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center"/>
              <w:ind w:right="172"/>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9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Controlling Unitholders'</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
              <w:spacing w:after="0" w:line="162" w:lineRule="exact"/>
              <w:rPr>
                <w:sz w:val="20"/>
                <w:szCs w:val="20"/>
                <w:color w:val="auto"/>
              </w:rPr>
            </w:pPr>
            <w:r>
              <w:rPr>
                <w:rFonts w:ascii="Times New Roman" w:cs="Times New Roman" w:eastAsia="Times New Roman" w:hAnsi="Times New Roman"/>
                <w:sz w:val="18"/>
                <w:szCs w:val="18"/>
                <w:b w:val="1"/>
                <w:bCs w:val="1"/>
                <w:color w:val="auto"/>
                <w:w w:val="98"/>
              </w:rPr>
              <w:t>Preferred</w:t>
            </w:r>
          </w:p>
        </w:tc>
        <w:tc>
          <w:tcPr>
            <w:tcW w:w="140" w:type="dxa"/>
            <w:vAlign w:val="bottom"/>
          </w:tcPr>
          <w:p>
            <w:pPr>
              <w:spacing w:after="0"/>
              <w:rPr>
                <w:sz w:val="14"/>
                <w:szCs w:val="14"/>
                <w:color w:val="auto"/>
              </w:rPr>
            </w:pPr>
          </w:p>
        </w:tc>
        <w:tc>
          <w:tcPr>
            <w:tcW w:w="860" w:type="dxa"/>
            <w:vAlign w:val="bottom"/>
          </w:tcPr>
          <w:p>
            <w:pPr>
              <w:jc w:val="right"/>
              <w:ind w:right="30"/>
              <w:spacing w:after="0" w:line="162" w:lineRule="exact"/>
              <w:rPr>
                <w:sz w:val="20"/>
                <w:szCs w:val="20"/>
                <w:color w:val="auto"/>
              </w:rPr>
            </w:pPr>
            <w:r>
              <w:rPr>
                <w:rFonts w:ascii="Times New Roman" w:cs="Times New Roman" w:eastAsia="Times New Roman" w:hAnsi="Times New Roman"/>
                <w:sz w:val="18"/>
                <w:szCs w:val="18"/>
                <w:b w:val="1"/>
                <w:bCs w:val="1"/>
                <w:color w:val="auto"/>
                <w:w w:val="95"/>
              </w:rPr>
              <w:t>Preferred</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90"/>
              <w:spacing w:after="0" w:line="162"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(38,564)</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(11,193)</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(42,595)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(14,278)</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24,114</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(45,455)</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(14,387)</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preferred units, net of</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advanced distributions to members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(54,420)</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(17,963)</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(26,481)</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(17,951)</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Adjustments to reconcile net loss to net cash and cash equivalents used in operating activities: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Unit-based compensation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on debt securities - related party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unpaid interest on note payable</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embedded derivative liability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payables due to related parties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interest expense on notes payable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 loss on investments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 loss (gain)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conversion of promissory notes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rent costs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4"/>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Liability for future preferred stock issuance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(18,647)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(12,136)</w:t>
            </w:r>
          </w:p>
        </w:tc>
      </w:tr>
      <w:tr>
        <w:trPr>
          <w:trHeight w:val="198"/>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shares in equity method investees</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Contributions to equity method investees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debt securities - related party</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Proceeds received related to PCT stock sale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(5,822)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(1,595)</w:t>
            </w:r>
          </w:p>
        </w:tc>
      </w:tr>
      <w:tr>
        <w:trPr>
          <w:trHeight w:val="198"/>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Financing Activities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capital, net of issuance costs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8,249</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issuance of units to NCI</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notes payable</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debts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Receipt of Capital from Class I Unitholder</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advance distribution to Members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Proceeds of related party notes payable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38,191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10,325</w:t>
            </w:r>
          </w:p>
        </w:tc>
      </w:tr>
      <w:tr>
        <w:trPr>
          <w:trHeight w:val="198"/>
        </w:trPr>
        <w:tc>
          <w:tcPr>
            <w:tcW w:w="8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13,722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(3,406)</w:t>
            </w:r>
          </w:p>
        </w:tc>
      </w:tr>
      <w:tr>
        <w:trPr>
          <w:trHeight w:val="207"/>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7,544</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16,297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 (continued)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Information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redeemable units to redemption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discount and embedded derivative upon issuance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Class Preferred B Units to extinguish convertible notes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Class B Preferred Units in exchange for Innventus ESG Fund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NCI in exchange for interest in Innventus ESG Fund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Commissions payable on issuance of Class B Preferred Units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Commissions payable on issuance of NCI</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Class B Preferred Units to extinguish consulting fees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units to NCI in exchange of convertible promissory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 of working capital loans to equity method investees into investments in debt securities - related party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loss on investments in debt Securities - related party through OCI</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right of use asset and corresponding lease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herein to "Innventure", "we", "us", "our" and "the Company" refer</w:t>
      </w:r>
    </w:p>
    <w:p>
      <w:pPr>
        <w:spacing w:after="0" w:line="16" w:lineRule="exact"/>
        <w:rPr>
          <w:sz w:val="20"/>
          <w:szCs w:val="20"/>
          <w:color w:val="auto"/>
        </w:rPr>
      </w:pPr>
    </w:p>
    <w:p>
      <w:pPr>
        <w:ind w:right="2940"/>
        <w:spacing w:after="0" w:line="211" w:lineRule="auto"/>
        <w:rPr>
          <w:sz w:val="20"/>
          <w:szCs w:val="20"/>
          <w:color w:val="auto"/>
        </w:rPr>
      </w:pPr>
      <w:r>
        <w:rPr>
          <w:rFonts w:ascii="Times New Roman" w:cs="Times New Roman" w:eastAsia="Times New Roman" w:hAnsi="Times New Roman"/>
          <w:sz w:val="18"/>
          <w:szCs w:val="18"/>
          <w:color w:val="auto"/>
        </w:rPr>
        <w:t>to the business and operations of Innventure LLC and its consolidated subsidiaries for all periods prior to the Closing, and to the business and operations of Innventure, Inc. and its consolidated subsidiaries for all periods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Innventure LLC is an origination platform company with its headquarters in Orlando, Florida. Innventure LLC founds, funds, and operates companies with a focus on transformative, sustainable technology solutions acquired or licensed from Multinational Corporations (‘‘MNCs’’). As owner-operators, Innventure LLC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Innventure LLC defines ‘‘disruptive’’ as innovations that have the ability to significantly change the way businesses, industries, markets and/or consumers operate.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 2024, the business combination that the Company entered into with, among others, Learn CW, closed and was preliminarily accounted for as a reverse recapitalization and Innventure LLC has been determined to be the accounting acquirer and the Predecessor. The information provided in this Quarterly Report on Form 10-Q only reflects the financial condition and results of operations of the Predecessor.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Innventure, Inc., formerly known as Holdco, is the successor to Innventure LLC following the business combination and is a Delaware corporation, whose common stock is listed and traded on the Nasdaq Capital Market (“Nasdaq”). Following the business combination, the Company will continue the business of Innventure LLC described above.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Both Learn CW and Holdco, a direct wholly-owned subsidiary of Learn CW prior to the business combination, were created for the purpose of consummating a business combination.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information for the Predecessor for such periods does not reflect the material changes to the business as a result of the business combination. Accordingly, the financial information for the Predecessor is not necessarily indicative of the Company’s results of operations, cash flows or financial position following the completion of the business combination.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Holdco, consummated the business combination pursuant to the terms of the business combination agreement, dated as of October 24, 2023 (the “Business Combination Agreement”), by and among Holdco, Learn CW and Innventure LLC, LCW Merger Sub, Inc. and Innventure Merger Sub, LLC, a direct, wholly-owned subsidiary of Holdco (“Innventure Merger Sub” and, together with LCW Merger Sub, the “Merger Subs”). Pursuant to the Business Combination Agreement, on the Closing Date, (i) LCW Merger Sub merged with and into Learn CW (the “LCW Merger”), with Learn CW as the surviving company of the LCW Merger and (ii) Innventure Merger Sub merged with and into Innventure LLC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accounting policies in preparing quarterly and annual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management has determined that in order to maintain its current level of operations, the Company will require additional working capital from cash flows from operations, from the sale of its capital and/or issuance of debt. The Company intends to obtain additional financing in the future to proceed with its business plans. The future value of investments held is unpredictable and subject to market events outside of the Company’s control. If the Company is unable to acquire additional working capital, it will be required to significantly reduce its current level of operations.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within one year after the date the accompanying condensed consolidated financial statements are issued; however, the above conditions raise substantial doubt about the Company’s ability to do so. The condensed consolidated financial statements do not include any adjustments to reflect the probable future effects on the recoverability and classification of assets or the amounts and classifications of liabilities that may result should the Company be unable to continue as a going concern. There can be no assurance that management will be successful in accessing additional capital or implementing its business plan or that the successful implementation of such business plan will actually improve our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This ASU clarifies that contractual sale restrictions should not be considered in measuring the fair value of equity securities. This ASU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fiscal years beginning after December 15, 2023, including interim periods therein, with early adoption permitted. The Company adopted this ASU on January 1, 2024, and the adoption did not have a material impact on the Company’s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is currently evaluating the impact this accounting standard will have on its segment disclosures.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The amendments in ASU 2023-09 are effective for fiscal years beginning after December 15, 2024, with early adoption permitted. The Company is currently evaluating the impact of adopting ASU 2023-09 on its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fair value</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Equity-method investments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equity-method investments primarily include its investment in the Innventus ESG Fund I, L.P. (the “ESG Fund"), for which it serves as general partner, and AeroFlexx, LLC ("AeroFlexx"), which are both not consolidated, but for which the Company exerts significant influence.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equity-method investment in the ESG Fund reflects the Company’s general partner interest in the ESG Fund, which represents approximately 5% of the ESG Fund’s total capital commitments. The general partner interest is not consolidated because the ESG Fund is not considered a variable interest entity and the Company does not hold a controlling financial interest in the ESG Fund under the voting interest entity model.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September 30, 2024, and December 31, 2023.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a 31% equity-method investment interest in AeroFlexx as of both September 30, 2024, and December 31, 2023. The Company recorded its investment in AeroFlexx at $721 and $1,570 as of September 30, 2024, and December 31,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Exchange-traded investments</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previously formed PureCycle Technologies, Inc. ("PCT") in partnership with a multinational corporation. PureCycle became a publicly traded company in 2021 and the remaining shares of PCT's common stock held by the Company are classified as an Exchange-traded investment at fair value recorded through net income (“FVTNI”). The remaining shares of PCT's common stock held by the Company are subject to a final lock-up which expires based upon the achievement of certain operational metrics, as certified by certain third-parties, of PCT’s Ironton, Ohio plant. Furthermore, the Company does not have an economic interest in the remaining shares of PCT's common stock held by the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400,000 PCT shares for aggregate net proceeds of $2,302. The PCT shares were measured at their fair value immediately prior to the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debt securities - AFS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2024, the Company ("Lender") entered into an intercompany loan agreement with AeroFlexx ("Borrower") under which the Company will lend up to $10,000 to AeroFlexx. The pre-existing working capital interest-free loans to AeroFlexx, amounting to $7,635 were considered outstanding term loans under this agreement and the Company has also lent Borrower an additional $2,365 during the three months ended September 30, 2024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loans and any unpaid accrued interest are required to be repaid by the maturity date, which is the earlier of (i) December 31, 2026 or (ii) the date of the sale, transfer or other disposition all of the Borrower’s assets or Borrower's stock is consummated. After any full or partial repayment of the term loans, the Borrower may borrow additional funds up to the $10,000 limit until the maturity date. The loan bears interest at the applicable federal rate published by the Internal Revenue Service and is adjusted on a quarterly basis.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option to convert the outstanding principal amount of the term loans and any unpaid accrued interest into shares or units in connection with the next issuance of equity securities by the Borrower, at a price equal to 100% of the price per share or unit and on the same terms and conditions as apply to such issuance.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by January 1, 2025, the Borrower has not raised equity financing equal to or more than a target of $10,000, then on January 2, 2025, the outstanding principal and any unpaid accrued interest on the term loans will automatically convert into Class D preferred units of the Borrower at the same price per unit and on the same terms and conditions as the Class D preferred unit of the Borrower purchased by Lender prior to the date of this loan agreement, up to the amount necessary to reach the $10,000 target.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accounted for this loan as an investment in debt securities and classified it as an available for sale ("AFS") debt security. Based on the AFS classification, the Company records this investment at fair value at each reporting date and as such recorded the changes in fair value of this loan (including the adjustment to fair value at inception date) in Other Comprehensive Income ("OCI").</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the loan is maturing in 2026, it is included in the non-current line item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of the condensed consolidated balance sheets. Also, the change in fair value of this investment in debt securities of $2,373 is included as </w:t>
      </w:r>
      <w:r>
        <w:rPr>
          <w:rFonts w:ascii="Times New Roman" w:cs="Times New Roman" w:eastAsia="Times New Roman" w:hAnsi="Times New Roman"/>
          <w:sz w:val="18"/>
          <w:szCs w:val="18"/>
          <w:i w:val="1"/>
          <w:iCs w:val="1"/>
          <w:color w:val="auto"/>
        </w:rPr>
        <w:t>'Unrealized loss on AFS debt securities - Related Party'</w:t>
      </w:r>
      <w:r>
        <w:rPr>
          <w:rFonts w:ascii="Times New Roman" w:cs="Times New Roman" w:eastAsia="Times New Roman" w:hAnsi="Times New Roman"/>
          <w:sz w:val="18"/>
          <w:szCs w:val="18"/>
          <w:color w:val="auto"/>
        </w:rPr>
        <w:t xml:space="preserve"> in the condensed consolidated statements of operations and comprehensive income (loss).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Fair Value</w:t>
            </w: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in Active</w:t>
            </w:r>
          </w:p>
        </w:tc>
        <w:tc>
          <w:tcPr>
            <w:tcW w:w="160" w:type="dxa"/>
            <w:vAlign w:val="bottom"/>
          </w:tcPr>
          <w:p>
            <w:pPr>
              <w:spacing w:after="0"/>
              <w:rPr>
                <w:sz w:val="16"/>
                <w:szCs w:val="16"/>
                <w:color w:val="auto"/>
              </w:rPr>
            </w:pPr>
          </w:p>
        </w:tc>
        <w:tc>
          <w:tcPr>
            <w:tcW w:w="18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5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Markets for</w:t>
            </w:r>
          </w:p>
        </w:tc>
        <w:tc>
          <w:tcPr>
            <w:tcW w:w="16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5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76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Identical Assets</w:t>
            </w:r>
          </w:p>
        </w:tc>
        <w:tc>
          <w:tcPr>
            <w:tcW w:w="160" w:type="dxa"/>
            <w:vAlign w:val="bottom"/>
          </w:tcPr>
          <w:p>
            <w:pPr>
              <w:spacing w:after="0"/>
              <w:rPr>
                <w:sz w:val="16"/>
                <w:szCs w:val="16"/>
                <w:color w:val="auto"/>
              </w:rPr>
            </w:pPr>
          </w:p>
        </w:tc>
        <w:tc>
          <w:tcPr>
            <w:tcW w:w="18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50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Inputs</w:t>
            </w:r>
          </w:p>
        </w:tc>
        <w:tc>
          <w:tcPr>
            <w:tcW w:w="400" w:type="dxa"/>
            <w:vAlign w:val="bottom"/>
          </w:tcPr>
          <w:p>
            <w:pPr>
              <w:spacing w:after="0"/>
              <w:rPr>
                <w:sz w:val="16"/>
                <w:szCs w:val="16"/>
                <w:color w:val="auto"/>
              </w:rPr>
            </w:pPr>
          </w:p>
        </w:tc>
        <w:tc>
          <w:tcPr>
            <w:tcW w:w="13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payables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92"/>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24"/>
                <w:szCs w:val="24"/>
                <w:color w:val="auto"/>
              </w:rPr>
            </w:pPr>
          </w:p>
        </w:tc>
        <w:tc>
          <w:tcPr>
            <w:tcW w:w="18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5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6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Identical Assets</w:t>
            </w:r>
          </w:p>
        </w:tc>
        <w:tc>
          <w:tcPr>
            <w:tcW w:w="160" w:type="dxa"/>
            <w:vAlign w:val="bottom"/>
          </w:tcPr>
          <w:p>
            <w:pPr>
              <w:spacing w:after="0"/>
              <w:rPr>
                <w:sz w:val="15"/>
                <w:szCs w:val="15"/>
                <w:color w:val="auto"/>
              </w:rPr>
            </w:pPr>
          </w:p>
        </w:tc>
        <w:tc>
          <w:tcPr>
            <w:tcW w:w="3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  Unobservable Inputs</w:t>
            </w:r>
          </w:p>
        </w:tc>
        <w:tc>
          <w:tcPr>
            <w:tcW w:w="400" w:type="dxa"/>
            <w:vAlign w:val="bottom"/>
          </w:tcPr>
          <w:p>
            <w:pPr>
              <w:spacing w:after="0"/>
              <w:rPr>
                <w:sz w:val="15"/>
                <w:szCs w:val="15"/>
                <w:color w:val="auto"/>
              </w:rPr>
            </w:pPr>
          </w:p>
        </w:tc>
        <w:tc>
          <w:tcPr>
            <w:tcW w:w="13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95"/>
        </w:trPr>
        <w:tc>
          <w:tcPr>
            <w:tcW w:w="36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4"/>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payables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debt security - AFS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investment in debt security is stated at fair value as described in Note 3. Investments. The fair value of the Class D Units is estimated on an as-converted basis using a Black-Scholes model incorporating breakpoints upon which each tranche of equity participates in distributions. The as-converted shares related to the loan are included in the AeroFlexx capitalization table given the expectation that they will have been converted to Class D Units by the liquidity date.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Issuance</w:t>
            </w: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3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r>
      <w:tr>
        <w:trPr>
          <w:trHeight w:val="22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to liquidity</w:t>
            </w:r>
          </w:p>
        </w:tc>
        <w:tc>
          <w:tcPr>
            <w:tcW w:w="24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3 years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3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Embedded derivative liabilities contained within the 2025 Notes (as defined below, see Note 5. Borrowings) are stated at fair value. Fair value is determined utilizing discounted cash flows, using unobservable market data inputs, and an option pricing model based on management’s probability weighted expected outcome with respect to a financing or a change of control. The derivatives associated with the 2025 Notes were settled in March 2024 due to conversion of the 2025 Notes in a qualified financing. A summary of the significant unobservable inputs utilized to estimate the fair value is as follows:</w:t>
      </w:r>
    </w:p>
    <w:p>
      <w:pPr>
        <w:sectPr>
          <w:pgSz w:w="11900" w:h="16838" w:orient="portrait"/>
          <w:cols w:equalWidth="0" w:num="1">
            <w:col w:w="11240"/>
          </w:cols>
          <w:pgMar w:left="320" w:top="138" w:right="339" w:bottom="1440" w:gutter="0" w:footer="0" w:header="0"/>
        </w:sectPr>
      </w:pPr>
    </w:p>
    <w:p>
      <w:pPr>
        <w:spacing w:after="0" w:line="249"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Embedded derivative within 2025 Note issued August 18, 2022 with a principal balance of $4,000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Financing</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86" w:lineRule="exact"/>
        <w:rPr>
          <w:sz w:val="20"/>
          <w:szCs w:val="20"/>
          <w:color w:val="auto"/>
        </w:rPr>
      </w:pPr>
    </w:p>
    <w:p>
      <w:pPr>
        <w:ind w:left="20" w:right="160"/>
        <w:spacing w:after="0" w:line="238" w:lineRule="auto"/>
        <w:rPr>
          <w:sz w:val="20"/>
          <w:szCs w:val="20"/>
          <w:color w:val="auto"/>
        </w:rPr>
      </w:pPr>
      <w:r>
        <w:rPr>
          <w:rFonts w:ascii="Times New Roman" w:cs="Times New Roman" w:eastAsia="Times New Roman" w:hAnsi="Times New Roman"/>
          <w:sz w:val="18"/>
          <w:szCs w:val="18"/>
          <w:i w:val="1"/>
          <w:iCs w:val="1"/>
          <w:color w:val="auto"/>
        </w:rPr>
        <w:t>Embedded derivative within 2025 Notes issued June 7 &amp; July 3, 2023 with an aggregate principal balance of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94"/>
        </w:trPr>
        <w:tc>
          <w:tcPr>
            <w:tcW w:w="2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r>
      <w:tr>
        <w:trPr>
          <w:trHeight w:val="228"/>
        </w:trPr>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- 36%</w:t>
            </w:r>
          </w:p>
        </w:tc>
      </w:tr>
      <w:tr>
        <w:trPr>
          <w:trHeight w:val="449"/>
        </w:trPr>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2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2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674" w:lineRule="exact"/>
        <w:rPr>
          <w:sz w:val="20"/>
          <w:szCs w:val="20"/>
          <w:color w:val="auto"/>
        </w:rPr>
      </w:pPr>
    </w:p>
    <w:p>
      <w:pPr>
        <w:sectPr>
          <w:pgSz w:w="11900" w:h="16838" w:orient="portrait"/>
          <w:cols w:equalWidth="0" w:num="2">
            <w:col w:w="6540" w:space="180"/>
            <w:col w:w="4520"/>
          </w:cols>
          <w:pgMar w:left="320" w:top="13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71% - 87%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- 88%</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30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100 %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control</w:t>
            </w:r>
          </w:p>
        </w:tc>
        <w:tc>
          <w:tcPr>
            <w:tcW w:w="30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increases or decreases to any of these inputs would result in a significantly higher or lower liability.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Level 3 assets and liabilities that are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Embedded Derivative</w:t>
            </w:r>
          </w:p>
        </w:tc>
        <w:tc>
          <w:tcPr>
            <w:tcW w:w="220" w:type="dxa"/>
            <w:vAlign w:val="bottom"/>
          </w:tcPr>
          <w:p>
            <w:pPr>
              <w:spacing w:after="0"/>
              <w:rPr>
                <w:sz w:val="17"/>
                <w:szCs w:val="17"/>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Investment in debt</w:t>
            </w: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220" w:type="dxa"/>
            <w:vAlign w:val="bottom"/>
          </w:tcPr>
          <w:p>
            <w:pPr>
              <w:spacing w:after="0"/>
              <w:rPr>
                <w:sz w:val="20"/>
                <w:szCs w:val="20"/>
                <w:color w:val="auto"/>
              </w:rPr>
            </w:pP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security - AFS</w:t>
            </w:r>
          </w:p>
        </w:tc>
      </w:tr>
      <w:tr>
        <w:trPr>
          <w:trHeight w:val="225"/>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w:t>
            </w:r>
          </w:p>
        </w:tc>
        <w:tc>
          <w:tcPr>
            <w:tcW w:w="1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6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w:t>
            </w:r>
          </w:p>
        </w:tc>
        <w:tc>
          <w:tcPr>
            <w:tcW w:w="1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9"/>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7,738</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net change in fair value included in earnings for the three months ended September 30, 2024, and 2023 were $— and $451, respectively, and for the nine months ended September 30, 2024, and 2023 were $478 and $492,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of prepaid expenses and other current assets, due from related parties, other assets, accounts payable, accrued expenses, accrued employee benefits, other current liabilities and other liabilities approximate fair value due to the short maturity terms of these instruments. The Company's convertible promissory notes were converted in March 2024 and the related embedded derivative liabilities settled as part of this conversion (see Note 5. Borrowings)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fair value of the Company's convertible promissory notes as of December 31, 2023, was $4,501.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Borrowings</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99"/>
        </w:trPr>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 9-15% interest, maturity: 36 – 60 months from issuance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 (net of unamortized loan fees of $68 and $0)</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promissory notes, 8% interest, maturity: 36 months from issuance</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14,907</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8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8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accrued interest of $— and $634 in long-term notes as of September 30, 2024, and December 31, 2023,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notes payable and notes payable to related parties mature as follows:</w:t>
            </w: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99"/>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20" w:type="dxa"/>
            <w:vAlign w:val="bottom"/>
          </w:tcPr>
          <w:p>
            <w:pPr>
              <w:spacing w:after="0"/>
              <w:rPr>
                <w:sz w:val="24"/>
                <w:szCs w:val="24"/>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3 months)</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23"/>
        </w:trPr>
        <w:tc>
          <w:tcPr>
            <w:tcW w:w="9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1 Promissory Notes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noteholders with principal amounts totaling $396 converted their Series 1 promissory notes into 40,829 of Class B Preferred Units based on the Class B Preferred Unit issuance price of $9.6992 per share. The noteholders elected to receive the last interest payment due and waive the prepayment fee, if applicable, in connection with the transaction. The Company accounted for the conversion of promissory notes as an extinguishment, the impact of which is immaterial to the Company’s financial statements. During the nine months ended September 30, 2023, noteholders with principal amounts totaling $100 converted their Series 1 promissory notes into 10,310 of Class B Preferred Units based on the Class B Preferred Unit issuance price of $9.6992 per share.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during the nine months ended September 30, 2024, the Company extended Series 1 promissory notes with principal of $122 and $421 for an additional year for the 1st and 2nd time at 12% from 9% and 15% from 12% interest, respectively. During the nine months ended September 30, 2023, the Company extended Series 1 promissory notes with principal of $772 and $616 for an additional year for the 1st and 2nd time at 12% from 9% and 15% from 12% interest, respectively.</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2024 and 2023, interest expense on the Series 1 promissory notes was approximately $39 and $82, respectively, and for the nine months ended September 30, 2024 and 2023, interest expense on the Series 1 promissory notes was approximately $138 and $246, respectively, and is included in interest expense on the condensed consolidated statements of operations and comprehensive income (loss). The interest expense on Series 1 promissory notes includes the amortization of issuance costs of $— and $8, for the three months ended September 30, 2024 and 2023, respectively, and $— and $26, for the nine months ended September 30,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Notes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20, 2024, the Company entered into unsecured promissory notes with two related parties for principal amounts of $10,000 and $2,000, respectively. The note with the first party contains a loan fee of $1,000 which is payable with the repayment of the principal amount of the note and the note with the second party contains interest at the rate of 11.5% per annum. The principal amounts, loan fees and accrued interest are repayable at the earlier of October 15, 2024 and the first business day following the date of consummation of the business combination, as discussed in Note 1 above.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 holders of these notes have an option to receive equity in form of shares of Series A Preferred Stock of Innventure, Inc, in lieu of receipt of cash repayment of all amounts due under the notes. Such shares will be equal to all amounts due under the notes including loan fees and accrued interest, divided by the original issue price of such preferred stock, with substantially the same terms as the designations, powers, preferences and other rights, and the qualifications, limitations and restrictions of the Series A Preferred Stock set forth at the time of original issue.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interest expense on these related party notes, including amortization of loan fee in form of debt discount, was $932.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related party notes above,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note matures on December 21, 2024. Upon maturity, the Company is required to repay the outstanding principal amount of $1,000 and a loan fee equal to approximately $63. There is no stated interest as per the terms of the executed agreement but it provides for interest at the rate of 8% per annum on the outstanding amount from the maturity date if the Company fails to pay any amount due on the maturity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2024, the 8% convertible promissory notes (the "2025 Notes") with a $6,000 principal balance and $755 of accrued interest were converted into 693,480 Accelsius Series A units at a conversion price of $9.74 per share. The conversion was pursuant to the occurrence of a qualified financing event. The related embedded derivative liability was extinguished in connection with the conversion.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the Company recognized $231 in interest expense associated with the 2025 Notes discounts and the contractual interest expense for 2024 was $120.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recognized $204 and $293, respectively, in interest expense associated with the 2025 Notes discounts and the contractual interest expense for the three and nine months ended September 30, 2023 was $46 and $316,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unamortized discount was $— and $2,133,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consisting of raw materials and finished goods are stated at the lower of cost or net realizable value. Cost of our inventories is determined by costing methods that approximate an average cost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2,824</w:t>
            </w: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53"/>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9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0" w:type="dxa"/>
            <w:vAlign w:val="bottom"/>
          </w:tcPr>
          <w:p>
            <w:pPr>
              <w:spacing w:after="0"/>
              <w:rPr>
                <w:sz w:val="1"/>
                <w:szCs w:val="1"/>
                <w:color w:val="auto"/>
              </w:rPr>
            </w:pPr>
          </w:p>
        </w:tc>
      </w:tr>
      <w:tr>
        <w:trPr>
          <w:trHeight w:val="53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Unitholders' Deficit</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120" w:type="dxa"/>
            <w:vAlign w:val="bottom"/>
          </w:tcPr>
          <w:p>
            <w:pPr>
              <w:spacing w:after="0"/>
              <w:rPr>
                <w:sz w:val="24"/>
                <w:szCs w:val="24"/>
                <w:color w:val="auto"/>
              </w:rPr>
            </w:pPr>
          </w:p>
        </w:tc>
        <w:tc>
          <w:tcPr>
            <w:tcW w:w="398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4"/>
                <w:szCs w:val="24"/>
                <w:color w:val="auto"/>
              </w:rPr>
            </w:pPr>
          </w:p>
        </w:tc>
        <w:tc>
          <w:tcPr>
            <w:tcW w:w="3980" w:type="dxa"/>
            <w:vAlign w:val="bottom"/>
            <w:tcBorders>
              <w:bottom w:val="single" w:sz="8" w:color="auto"/>
            </w:tcBorders>
            <w:gridSpan w:val="5"/>
          </w:tcPr>
          <w:p>
            <w:pPr>
              <w:ind w:left="12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74"/>
        </w:trPr>
        <w:tc>
          <w:tcPr>
            <w:tcW w:w="3120" w:type="dxa"/>
            <w:vAlign w:val="bottom"/>
          </w:tcPr>
          <w:p>
            <w:pPr>
              <w:spacing w:after="0"/>
              <w:rPr>
                <w:sz w:val="15"/>
                <w:szCs w:val="15"/>
                <w:color w:val="auto"/>
              </w:rPr>
            </w:pPr>
          </w:p>
        </w:tc>
        <w:tc>
          <w:tcPr>
            <w:tcW w:w="2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Units Authorized</w:t>
            </w:r>
          </w:p>
        </w:tc>
        <w:tc>
          <w:tcPr>
            <w:tcW w:w="1900" w:type="dxa"/>
            <w:vAlign w:val="bottom"/>
            <w:gridSpan w:val="2"/>
          </w:tcPr>
          <w:p>
            <w:pPr>
              <w:jc w:val="right"/>
              <w:ind w:right="210"/>
              <w:spacing w:after="0" w:line="174" w:lineRule="exact"/>
              <w:rPr>
                <w:sz w:val="20"/>
                <w:szCs w:val="20"/>
                <w:color w:val="auto"/>
              </w:rPr>
            </w:pPr>
            <w:r>
              <w:rPr>
                <w:rFonts w:ascii="Times New Roman" w:cs="Times New Roman" w:eastAsia="Times New Roman" w:hAnsi="Times New Roman"/>
                <w:sz w:val="18"/>
                <w:szCs w:val="18"/>
                <w:b w:val="1"/>
                <w:bCs w:val="1"/>
                <w:color w:val="auto"/>
              </w:rPr>
              <w:t>Units Issued and</w:t>
            </w:r>
          </w:p>
        </w:tc>
        <w:tc>
          <w:tcPr>
            <w:tcW w:w="160" w:type="dxa"/>
            <w:vAlign w:val="bottom"/>
          </w:tcPr>
          <w:p>
            <w:pPr>
              <w:spacing w:after="0"/>
              <w:rPr>
                <w:sz w:val="15"/>
                <w:szCs w:val="15"/>
                <w:color w:val="auto"/>
              </w:rPr>
            </w:pPr>
          </w:p>
        </w:tc>
        <w:tc>
          <w:tcPr>
            <w:tcW w:w="1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Units Authorized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jc w:val="right"/>
              <w:ind w:right="230"/>
              <w:spacing w:after="0" w:line="174" w:lineRule="exact"/>
              <w:rPr>
                <w:sz w:val="20"/>
                <w:szCs w:val="20"/>
                <w:color w:val="auto"/>
              </w:rPr>
            </w:pPr>
            <w:r>
              <w:rPr>
                <w:rFonts w:ascii="Times New Roman" w:cs="Times New Roman" w:eastAsia="Times New Roman" w:hAnsi="Times New Roman"/>
                <w:sz w:val="18"/>
                <w:szCs w:val="18"/>
                <w:b w:val="1"/>
                <w:bCs w:val="1"/>
                <w:color w:val="auto"/>
              </w:rPr>
              <w:t>Units Issued and</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90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94"/>
        </w:trPr>
        <w:tc>
          <w:tcPr>
            <w:tcW w:w="3120" w:type="dxa"/>
            <w:vAlign w:val="bottom"/>
            <w:tcBorders>
              <w:bottom w:val="single" w:sz="8" w:color="CCEEFF"/>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90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6,722,562</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5,609,951</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4,109,961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6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6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Return</w:t>
      </w:r>
    </w:p>
    <w:p>
      <w:pPr>
        <w:sectPr>
          <w:pgSz w:w="11900" w:h="16838" w:orient="portrait"/>
          <w:cols w:equalWidth="0" w:num="1">
            <w:col w:w="11240"/>
          </w:cols>
          <w:pgMar w:left="320" w:top="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B and B-1 Preferred Unitholders are entitled to distributions at a rate of 6% per year of unreturned capital of preferred units. Class B and B-1 Preferred Unitholders have accumulated $4,743 and $359, respectively, in unreturned preferred returns as of September 30, 2024 and $2,555 and $210, respectively, as of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continued to receive additional capital in connection with its Class B Preferred Unit capital raise which closed on January 26, 2024. The Company received $13,932 and $8,771 in cash during the nine months ended September 30, 2024 and 2023 and issued 1,437,868 and 904,375 new Class B Preferred Units, respectively, at the issuance price of $9.6992 per share. For the three months ended September 30, 2024 and 2023, the Company received $3,384 and $5,382 in cash and issued 350,360 and 554,966 new Class B Preferred Units, respectively, at the issuance price of $9.6992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Unit-based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costs related to the Equity Incentive Plan of $41 and $51 for the three months ended September 30, 2024 and 2023, respectively, and $137 and $153 for the nine months ended September 30, 2024 and 2023, respectively. As of September 30, 2024, the Company has $234 in unit-based compensation expense remaining to be recognized over approximately 1.4 years.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Equity Plan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three months ended September 30, 2023, there were 109,000 Class C units granted under the Subsidiary Equity Plan with a grant date fair value of $3.51. There were no Class C units granted under the Subsidiary Equity Plan during the three months ended September 30, 2024. During the nine months ended September 30, 2024 and 2023, there were 110,000 and 347,000 Class C units granted under the Subsidiary Equity Plan with a grant date fair value of $4.41 and $3.51, respectively.</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Subsidiary Equity Plan of $326 and $244 for the three months ended September 30, 2024 and 2023, respectively, and $919 and $480 for the nine months ended September 30, 2024 and 2023, respectively, which is recorded in general and administrative, sales and marketing and research and development in the condensed consolidated statements of operations and comprehensive income (loss). As of September 30, 2024, the Subsidiary has $1,633 in unit-based compensation expense remaining to be recognized over approximately 1.7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no income tax provision was recorded due to maintenance of a full valuation allowance against net deferred tax assets as of December 31, 2023 due to the Company’s history of losses and the Company’s belief that it is not more likely than not the benefit will be realized. There was no income tax effect for the three and nine months ended September 30, 2023. The effective tax rate was zero for the three and nine months ended September 30,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Unit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for the basic earnings per unit calculations using the two 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attributable to Innventure LLC Unitholders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r>
      <w:tr>
        <w:trPr>
          <w:trHeight w:val="229"/>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cumulative earnings to participating unitholders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5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Less: deemed dividend related to Class PCTA and Class I Units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2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(16,848)</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Class A Units outstanding, basic</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Unit Attributable to Class A Unitholders,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PCTA and Class I units are redeemable instruments within mezzanine capital. The increases and decreases in the carrying amount of these instruments are charged against accumulated deficit during respective periods and treated as a deemed dividend in the calculation of net loss attributable to Class A Unitholders.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The Company had a convertible promissory note to the ESG Fund as part of the 2025 Notes which was converted during the nine months ended September 30, 2024. The Company also has short-term notes with three separate related parties.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Innventure1</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related party liability established in connection with the ownership interest in the Company's PCT common stock assigned by Innventure1 to investors that are considered related parties of the Company was revalued to $125 and $53 as of September 30, 2024 and December 31, 2023, respectively. The change in value was included in Net (loss) gain on investments – due to related parties in the condensed consolidated statements of operations and comprehensive income (loss).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the ESG Fund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the ESG Fund. Expenses which meet certain criteria are reimbursed to the Company by the ESG Fund. Amounts paid by the Company not reimbursed by the ESG Fund totaled $11 and $30 for the three months ended September 30, 2024 and 2023, respectively, and $46 and $39 for the nine months ended September 30, 2024 and 2023, respectively. There was a receivable of $6 and $2 as of September 30, 2024 and December 31, 2023, respectively, related to those expenses included in Due from related parties in the condensed consolidated balance sheets.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earns a 1-2% management fee for administrative, finance and accounting, and other back-office functions from the ESG Fund. Management fees earned from the ESG Fund totaled $195 and $198 for the three months ended September 30, 2024 and 2023, respectively, and $588 and $592 for the nine months ended September 30, 2024 and 2023, which is recorded as Management fee income - related parties in the condensed consolidated statements of operations and comprehensive income (loss).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ESG Fund, a related party, to sell 145,161 shares of PCT common stock with an exercise price of $1. The option period would have expired on July 22, 2024, and the Company measured the derivative liability at fair value. The option was exercised in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the shares are subject to the lock-up provisions. The liability due to the ESG Fund as of September 30, 2024 and December 31, 2023 was $690 and $294, respectively, and is included in Related party payables in the condensed consolidated balance sheets.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sold 23,712 of Accelsius Class A Units to the ESG Fund for aggregate proceeds of approximately $104. This amount is reflected in non-controlling interests in the condensed consolidated statements of changes in unitholders' deficit.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AeroFlexx</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AeroFlexx. Amounts paid by the Company that were reimbursed by AeroFlexx totaled $3 and $18 for the three months ended September 30, 2024 and 2023, respectively, and $14 and $76 for the nine months ended September 30, 2024 and 2023, respectively. There was a receivable of $205 and $— as of September 30, 2024 and December 31, 2023, respectively, related to those expenses included in Due from related parties in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PCT Guaranty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 and total interest paid is $—. As of September 30, 2024 and December 31, 2023, there is no principal outstanding under the guaranty.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Agreement Contingent Fees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minimum patent royalties included in Patent installment payables on the condensed consolidated balance sheets are due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20" w:type="dxa"/>
            <w:vAlign w:val="bottom"/>
          </w:tcPr>
          <w:p>
            <w:pPr>
              <w:spacing w:after="0"/>
              <w:rPr>
                <w:sz w:val="20"/>
                <w:szCs w:val="20"/>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23"/>
        </w:trPr>
        <w:tc>
          <w:tcPr>
            <w:tcW w:w="9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13,600</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Equity of Innventure, Inc.</w:t>
      </w:r>
    </w:p>
    <w:p>
      <w:pPr>
        <w:spacing w:after="0" w:line="2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2024, the Company received $10,870 of advance funds for future equity issuance of Holdco upon Closing on the business combination. This amount is shown within </w:t>
      </w:r>
      <w:r>
        <w:rPr>
          <w:rFonts w:ascii="Times New Roman" w:cs="Times New Roman" w:eastAsia="Times New Roman" w:hAnsi="Times New Roman"/>
          <w:sz w:val="18"/>
          <w:szCs w:val="18"/>
          <w:i w:val="1"/>
          <w:iCs w:val="1"/>
          <w:color w:val="auto"/>
        </w:rPr>
        <w:t>'Liability for future preferred stock issuance'</w:t>
      </w:r>
      <w:r>
        <w:rPr>
          <w:rFonts w:ascii="Times New Roman" w:cs="Times New Roman" w:eastAsia="Times New Roman" w:hAnsi="Times New Roman"/>
          <w:sz w:val="18"/>
          <w:szCs w:val="18"/>
          <w:color w:val="auto"/>
        </w:rPr>
        <w:t xml:space="preserve"> of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Business Segment Data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operating businesses include corporate (including service activities) and technology businesses. Reportable segment information for the three and nine months ended September 30, 2024 and 2023, respectively,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r>
      <w:tr>
        <w:trPr>
          <w:trHeight w:val="250"/>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 of intercompany interest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r>
      <w:tr>
        <w:trPr>
          <w:trHeight w:val="250"/>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 of intercompany interest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36"/>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Depreciation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5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(17,951)</w:t>
            </w:r>
          </w:p>
        </w:tc>
      </w:tr>
      <w:tr>
        <w:trPr>
          <w:trHeight w:val="250"/>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43,260</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6"/>
              </w:rPr>
              <w:t>22,953</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rPr>
              <w:t>44,327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6"/>
              </w:rPr>
              <w:t>16,246</w:t>
            </w:r>
          </w:p>
        </w:tc>
      </w:tr>
      <w:tr>
        <w:trPr>
          <w:trHeight w:val="229"/>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(31,856)</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(17,635)</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55,731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6"/>
              </w:rPr>
              <w:t>21,564</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from external customers and long-lived assets are located entirely in the United States of America (USA).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and related disclosures for the period ended September 30, 2024, management has evaluated events through November 14, 2024 which is the date the condensed consolidated financial statements were available to be issued. Events occurring after September 30, 2024 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business combination consummation ("Closing") occurred on the Closing Date and, as a result of the business combination, (a) each Learn CW Class A ordinary share and Class B ordinary share issued and outstanding immediately prior to Closing (and not cancelled or redeemed) was converted into the right to receive one share of Holdco common stock, par value $0.0001 ("Common Stock"); (b) each Learn CW public warrant and private placement warrant outstanding immediately prior to Closing was assumed by Holdco and converted into a Holdco warrant ("Warrant"); (c) the Innventure LLC equity units (other than the Innventure LLC Class PCTA units ("PCTA Units") and Class I units ("Class I Units")) issued and outstanding immediately prior to Closing were converted into the right to receive shares of Holdco common stock; and (d) the PCTA Units and the Class I Units of Innventure LLC remained outstanding.</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Closing, each of Learn CW and Innventure LLC are subsidiaries of Holdco, Holdco changed its name to "Innventure, Inc." and Holdco became a publicly traded company. Holdco's shares of Common Stock began trading on Nasdaq under the symbol “INV” on October 3, 2024. While Holdco intended for and expected its Warrants to trade on Nasdaq, ultimately there was not a sufficient number of holders to meet the applicable Nasdaq requirements. Each Warrant entitles the holder to purchase one share of Common Stock at a price of $11.50 per share. The Warrants will become exercisable on November 1, 2024 and will expire on October 2, 2029 or earlier upon redemption or liquidation. The public units of Learn CW automatically separated into the component securities upon consummation of the business combination and, as a result, no longer trade as a separate security.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combination was preliminarily accounted for as a reverse recapitalization in accordance with GAAP, and under this method of accounting, Learn CW was treated as the acquired company for financial reporting purposes and Innventure LLC was treated as the accounting acquirer.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consideration for the Innventure Merger (the “Merger Consideration”) paid to the Innventure Members (as defined in the definitive proxy statement filed with the SEC on September 10, 2024 by Learn CW) consisted of 43,490,268 shares of Common Stock. A portion of this Merger Consideration to be delivered to Innventure Members consists of a contingent right to receive up to 5,000,000 shares of Common Stock (the “Company Earnout Shares”), which shares are subject to the following milestone conditions (collectively, the “Milestone Conditions”):</w:t>
      </w:r>
    </w:p>
    <w:p>
      <w:pPr>
        <w:spacing w:after="0" w:line="193" w:lineRule="exact"/>
        <w:rPr>
          <w:sz w:val="20"/>
          <w:szCs w:val="20"/>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Accelsius Holdings LLC (Accelsius” or “ACC”) having entered into binding contracts providing for revenue for the Company Group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68"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within 7 years following the Closing (the “Vesting Period”) in excess of $15,000 in revenue ("Milestone One");</w:t>
      </w: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Holdco’s formation of a new subsidiary, in partnership with an MNC (as defined in the Business Combination Agreement), as determined using the Innventure LLC's “DownSelect” process, within the Vesting Period ("Milestone Two");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Company Earnout Shares will be issuable upon AeroFlexx, LLC having received in excess of $15,000 revenue within the Vesting Period ("Milestone Three").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(including as a result of the conversions described above), there were 44,602,673 shares of Common Stock and 18,646,000 Warrants issued and outstanding. As of the Closing, the Innventure Members owned approximately 86.3% of the Holdco’s outstanding shares of Common Stock, and the former shareholders of Learn CW, including (i) Learn CW's sponsor, CWAM LC Sponsor LLC (the “Sponsor”) and (ii) Learn CW's independent directors, owned approximately 13.7% of Holdco’s outstanding shares of Common Stock.</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September 30, 2024, Learn CW held an extraordinary general meeting in which Learn CW's shareholders approved the business combination of Learn CW, Innventure LLC, Holdco, and the Merger Subs, pursuant to the transactions contemplated by the Business Combination Agreement. As a result, effective on the Closing Date, 250,000,000 shares of Holdco common stock, par value $0.0001 per share, were authorized and 25,000,000 shares of Holdco preferred stock, par value $0.0001 per share, were authorized. Of the 25,000,000 shares of preferred stock authorized by the Amended and Restated Certificate of Incorporation, the Holdco board of directors designated 3,000,000 shares as Series B preferred stock ("Series B Preferred Shares").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2024, Learn CW shareholders holding 8,310,747 Learn CW Class A ordinary shares exercised their right to redeem such shares for cash at a redemption price of approximately $11.04 per share, for an aggregate redemption amount of $91,721. On October 3, 2024, Learn CW paid such shareholders the aggregate amount of $91,721 for the redemption from the assets held as cash investments in the Learn CW trust account.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Holdco settled obligations of Learn CW including (a) outstanding accounts payable and accrued expenses totaling $9,233 and (b) the outstanding amount of the promissory note due to the Sponsor totaling $4,628. Additionally, Holdco settled obligations of Innventure LLC including transaction-related items of $6,493 as part of the Closing. In total, Holdco paid $20,354 to settle these obligations using cash from the Learn CW trust account and financing secured through Series B Preferred Shares, which is discussed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Shares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Closing Date Holdco issued 750,000 Series B Preferred Shares to Commonwealth Asset Management LP (together with its assignee, "CWAM LP"), an affiliate of the Sponsor, and 352,000 Series B Preferred Shares to certain purchasers (together with CWAM LP, the "Series B Investors"), for a total of 1,102,000 Series B Preferred Shares at a purchase price of $10.00 per share (the “Original Issue Price”) and a total amount of $11,020.</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Series B Preferred Shares will convert into Common Stock on the fifth anniversary of the issue date, or owners can choose to convert before this date. The number of shares of Common Stock that each holder of Series B Preferred Shares will receive upon conversion of all of such holder’s shares of Series B Preferred Shares will be the number of shares equal to the Conversion Rate (as defined below) multiplied by the number of shares of Series B Preferred Shares held by such holder (subject to a threshold amount). No fractional shares shall be issued upon the exercise of any conversion right. Any fractional shares that a holder would otherwise be entitled to will be rounded up to the next whole share. The conversion rate (“Conversion Rate”) will equal a fraction whose numerator is the Original Issue Price, which is $10.00 per share of Series B Preferred Shares and whose denominator is the lesser of (i) the Reset Conversion Price and (ii) $12.50, where the “Reset Conversion Price” means the greater of (a) $5.00 and (b) the 10-trading day volume-weighted average closing price of the Common Stock of Holdco.</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respect to payment of dividends, the Series B Preferred Shares shall rank senior in priority of payment to all junior stock ("Junior Stock") and parity stock ("Parity Stock") in any liquidation, dissolution, winding up or distribution of Holdco, and junior to any existing or future secured or unsecured indebtedness and other liabilities (including trade payables) of Holdco. With respect to (a) distribution of assets and (b) all other liquidation, winding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up, dissolution, dividend and redemption rights, the Series B Preferred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of payment to all Parity Stock and senior in priority of payment to all Junior Stock in any liquidation, dissolution, winding up or distribution of Holdco, and junior to any existing or future secured or unsecured indebtedness and other liabilities (including trade payables) of Holdco.</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Per each whole share of Series B Preferred Shares, the holders of Series B Preferred Shares are entitled to cast the number of votes equal to (i) $10.00, divided by (ii) the Minimum Price (which shall have the meaning assigned in Nasdaq Listing Rule 5635(d)) of Common Stock as of the initial issue date of the Series B Preferred Shares and will vote with the holders of Common Stock as a single class an on an as-converted basis, except as provided by law or applicable to Nasdaq Listing Rules. Holders of Series B Preferred Shares can vote along with holders of Common Stock, but their voting power, on an as-converted basis cannot exceed 19.99% of the total outstanding voting power.</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Dividends for Series B Preferred Shares will accrue annually at 8.0% of the liquidation preference, defined as, with respect to a holder, the Original Issue Price multiplied by the number of Series B Preferred Shares held by the holder. All dividends are prior to and in preference over any dividend on any Junior Stock or Parity Stock and shall be declared and fully paid before any dividends are declared and paid, or any other distributions are made, on any Junior Stock or Parity Stock. Dividends will be due and payable annually in arrears as payment in kind on each the last day of the last quarter in each fiscal year of Holdco. Holders are also eligible to receive dividends declared on Common Stock.</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 2024, all Innventure LLC unvested Employee Class C Equity Incentive Plan Units vested according to the accelerated vesting trigger in the board resolution dated October 26th, 2023. The triggering event was the Closing of a special purpose acquisition company transaction. The accelerated vesting results in 213,533 units vesting and an additional compensation expense of $234 recognized in October 2024 related to the acceleration.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sold 331,006 of Accelsius Series A Units for aggregate proceeds of approximately $4,030. This amount will be reflected in non-controlling interests in the condensed consolidated statements of changes in unitholders' deficit in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advanced funds in the amount of $925 to AeroFlexx.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and Security Agreement</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October 22, 2024, the Company entered into a Loan and Security Agreement with WTI Fund X, Inc. and WTI Fund XI, Inc., (collectively, “WTI Lenders”), as supplemented by the Supplement (the “Supplement”) to the Loan and Security Agreement, dated October 22, 2024, by and among the Company and the WTI Lenders (the “Loan and Security Agreement” and, together with the Supplement and other related loan documents, the “Loan Documents”). The Loan and Security Agreement provides for a term loan facility in the aggregate principal amount of up to $50,000 (the "WTI Facility"), of which (i) up to $20,000 is made available after October 22, 2024 and through November 15, 2024 (the "First Tranche"); (ii) up to $15,000 is made available after November 1, 2024 and through November 30, 2024 (the "Second Tranche"); and (iii) up to $15,000 will be made available after December 31, 2024 and through January 31, 2025 (the "Third Tranche") (provided that up to $7,500 of 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interest-only period of twelve months in the case of the First Tranche and six months in the case of each of the Second Tranche and the Third Tranche, in equal monthly installments over a period of thirty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drawn down any funds from this term loan facility. Obligations under the Loan Documents are secured by a lien on substantially all of the assets of Innventure LLC and the Company.</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Inc. issued two warrants to purchase up to an aggregate total of 1,000,000 shares of Common Stock, to WTI Fund X, LLC and WTI Fund XI, LLC (each an affiliate of the WTI Lenders, collectively, the "WTI Holders"), respectively (the “WTI Warrants”). Each warrant is exercisable into one share of Common Stock at price of $0.01 per share (subject to certain limitations, adjustment and certain other rights to possible future financings, such as subsequent round stock (as defined in the Warrant Agreement), in accordance with terms of the WTI Warrants) through March 31, 2025. The WTI Warrants include customary registration rights and change-of-control adjustments and may be exchanged, at the WTI Holders' option, for a cash amount equal to $15 million (in the aggregate), subject to adjustment to the extent a WTI Warrant is partially exercised, in lieu of exercise upon a change of control, at any time from and after the four-year anniversary of October 22, 2024. In connection with any equity or convertible debt securities that Innventure, Inc may from time to time propose to offer or sell after the date of issuance of the WTI Warrants, the WTI Holders will also have the option to purchase up to $5 million (in the aggregate) or such amount as is necessary for each of WTI Holder to maintain its pro rata ownership in certain future financings conducted by Innventure, Inc, subject to customary exclusions.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Ducera</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January 31, 2024, the Company entered into an engagement letter with Ducera Partners, LLC and its affiliates including, where appropriate, Ducera Securities LLC (collectively ("Ducera") under which Ducera was retained to provide the Company with financial advisory and investment banking services. Pursuant to the engagement letter, Ducera is compensated for services rendered through a financing fee, which is calculated as a percentage of the debt and equity financing the Company raises. Per the terms of the engagement letter, the financing fee is equal to (i) 1.0% of secured debt raised payable in cash and 1.0% of secured debt raised payable in warrants; (ii) 2.0% of unsecured debt raised payable in cash and 2.0% of unsecured debt raised payable in warrants; and (iii) 4.0% of equity raised payable in cash and 4.0% of equity raised payable in warrants.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October 2, 2024, as described above in this footnote, the Company issued the Series B Preferred Shares for a total amount of $11,020. In connection with this issuance of equity securities, a financing fee became payable to Ducera, with $441 payable in cash and $441 payable in warrants (each calculated as 4% of $11,020). The $441 payable in cash, plus an additional $8 of expenses, was paid in cash on October 2, 2024 as part of the Company's transaction-related items settled at Closing with the remainder of the obligation outstanding. The Company and Ducera are currently discussing the appropriate satisfaction of the outstanding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Grail</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previously entered into an agreement with Grail Partners, LLC ("Grail") on October 19, 2023, pursuant to which Grail was retained to provide the Company with financial advisory and merchant banking services in relation to the business combination transaction. Pursuant to this agreement, the Company agreed to pay a $50 monthly retainer fee upon execution of the agreement and at the time of closing of the business combination, a minimum success fee of 1.25% of the aggregate value of all consideration in connection with the business combination. The success fee on the Closing Date was calculated as approximately $5,717.</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18, 2024, the Company entered into an amendment to the agreement with Grail, pursuant to which, the Company agreed to promptly pay, for services previously rendered, a success fee of $600 in cash ("Cash Success Fee") and an additional success fee of $3,000 (the "Equity Success Fee") in preferred stock of Innventure, Inc. Under the amendment, the Company and Grail agreed that the Cash Success Fee and Equity Success Fee replace the success fee under the original agreement and will be paid in addition to the aggregate monthly retainer fee of $550 previously paid.</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also entered into a letter agreement with Grail on October 18, 2024, in which Grail will provide financial advisory services to the Company for a term of 15 months, commencing on November 1, 2024. During the term, the Company will pay Grail a monthly fee, in cash, of $100 payable monthly in arrears beginning on December 1, 2024. An amount of $625 of the aggregate $1,500 of fees that may otherwise accrue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3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agreement are contingent upon the achievement of the Milestone Conditions set forth in the Business Combination Agreement, such that $250 is contingent the achievement of Milestone One, $250 is contingent on the achievement of Milestone Two, and $125 is contingent on the achievement of Milestone Three. If any Milestone Condition is not achieved by October 2, 2031, then the fee contingent upon the achievement of such milestone will not be payable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Roth</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previously entered into a letter agreement with Roth Capital Partners, LLC ("Roth") in July 2024, pursuant to which Roth was engaged to provide capital markets advisory services for a duration of twelve months. The Company paid Roth an advisory fee of $500, payable at the time of Closing of the business combination transaction. Of the advisory fee, a minimum of $250 could be paid in cash and, at the option of Company (or Innventure Inc.), up to 50%, or $250, can be paid in cash or Common Stock, based upon a value of $10.00 per share (subject to adjustment if certain conditions were met and such conditions were not met on the applicable date). On October 2, 2024, the Company paid $250 in cash and on October 31, the Company issued to Roth 25,000 shares of Common Stock in settlement of $250 of the advisory fee (accordingly, at an effective price of $10.00 per share)</w:t>
      </w:r>
      <w:r>
        <w:rPr>
          <w:rFonts w:ascii="Times New Roman" w:cs="Times New Roman" w:eastAsia="Times New Roman" w:hAnsi="Times New Roman"/>
          <w:sz w:val="18"/>
          <w:szCs w:val="18"/>
          <w:u w:val="single" w:color="auto"/>
          <w:color w:val="auto"/>
        </w:rPr>
        <w: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Unsecured Promissory Note Amendments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2024, the Company entered into amended and restated agreements to amend the terms of the unsecured promissory notes with two related parties, with principal amounts of $10,000 and $2,000, respectively, as described in Note 5. Borrowings.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on the note with the first party, became due on or around the amendment date but has not yet been paid and interest will now accrue at the rate of 15.99% per annum.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amended note with the second party, the maturity date was extended to January 31, 2025, and the interest rate was increased from 11.5% to 13.5% per annum. Additionally, $1,000 of the principal amount became due on or around the amendment date but has not yet been paid.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amendments, the two related parties no longer have an option to receive equity in form of shares of Series A preferred stock of Innventure, Inc, in lieu of receipt of cash repayment of all amounts due under the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Standby Equity Purchase Agreement</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Concurrently with the parties entering into the Business Combination Agreement, Holdco entered into the SEPA with Yorkville on October 24, 2023. Pursuant to the SEPA and subject to certain conditions and limitations, the Company has the option, but not the obligation, to sell to Yorkville, and Yorkville must subscribe for, an aggregate amount of up to $75,000 of Holdco’s Common Stock, at the Company’s request any time during the commitment period commencing on the Closing Date and continuing for a term of three years. Holdco agreed and paid, to YA Global II SPV, LLC, a subsidiary of Yorkville, (i) a structuring fee in the amount of $25 and (ii) a commitment fee of $375.</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Each advance that Holdco issues in writing to Yorkville under the SEPA (each, an “Advance,” and notice of such request, and “Advance Notice”) may be in an amount of Common Stock up to the greater of (i) $10,000 or (ii) the aggregate daily trading volume of Common Stock for the five trading days prior to Holdco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Additionally, the Company may establish a minimum acceptable price in each Advance Notice below which the Company will not be obligated to make any sales to Yorkville.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Innventure LLC and Subsidiaries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thousands, except unit and per unit amounts)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1, 2027 and (ii) the date on which Yorkville shall have made payment of advances pursuant to the SEPA for Common Stock equal to the commitment amount of $75,000.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Holdco has not sold any shares to Yorkville pursuant to the SEPA.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4" w:name="page35"/>
    <w:bookmarkEnd w:id="34"/>
    <w:p>
      <w:pPr>
        <w:spacing w:after="0" w:line="217" w:lineRule="exact"/>
        <w:rPr>
          <w:sz w:val="20"/>
          <w:szCs w:val="20"/>
          <w:color w:val="auto"/>
        </w:rPr>
      </w:pPr>
    </w:p>
    <w:p>
      <w:pPr>
        <w:ind w:right="1060"/>
        <w:spacing w:after="0" w:line="263"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OF INNVENTURE</w:t>
      </w:r>
    </w:p>
    <w:p>
      <w:pPr>
        <w:spacing w:after="0" w:line="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"Innventure", "we", "us", "our" and "the Company" refer to the business and operations of Innventure LLC and its consolidated subsidiaries for all periods prior to the Closing, and to the business and operations of Innventure, Inc. and its consolidated subsidiaries for all periods after the Closing. Unless otherwise indicated, all dollar amounts ("$") are expressed in thousands.</w:t>
      </w:r>
    </w:p>
    <w:p>
      <w:pPr>
        <w:spacing w:after="0" w:line="21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as of September 30, 2024 and for the three and nine months ended September 30, 2024 and 2023 included in Item 1 of this Quarterly Report on Form 10-Q ("Form 10-Q") and our audited consolidated financial statements and related notes as of and for the year ended December 31, 2023 included in our definitive proxy statement/consent solicitation statement/prospectus, dated September 10, 2024 (the "Proxy Statement/Prospectus").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Additionally, our historical results are not necessarily indicative of the results that may be expected for any period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We are owner-operators who take what we believe to be breakthrough technologies from early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three such companies since inception: PureCycle Technologies, Inc. (“PureCycle” or “PCT”) in late 2015 (technology sourced from P&amp;G), AeroFlexx, LLC (“AeroFlexx” or “AFX”) in 2018 (technology sourced from P&amp;G), and Accelsius Holdings LLC (“Accelsius” or “ACC”) in 2022 (technology sourced from Nokia). PureCycle became a publicly traded company in 2021 and Innventure no longer has an economic interest in PureCycle.</w:t>
      </w:r>
    </w:p>
    <w:p>
      <w:pPr>
        <w:spacing w:after="0" w:line="2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Innventure’s approach to identifying and commercializing disruptive technology opportunities has a multidecade history and is designed to help mitigate the risks associated with building start-up businesses by sourcing technology from MNCs. One important part of our approach is our existing and ongoing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w:t>
      </w:r>
    </w:p>
    <w:p>
      <w:pPr>
        <w:spacing w:after="0" w:line="20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use our systematic, repeatable DownSelect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customers, (4) the ability to create sustainable competitive advantages, (5) the projected ability to generate rapid, sizable financial returns and (6) the potential to create target enterprise value of at least $1 billion. DownSelect uses the proprietary MNC market and customer data along with our own rigorous analytics to assess each opportunity and seeks opportunities for the MNC to help accelerate early market adoption by becoming early customers or offering channel access.</w:t>
      </w:r>
    </w:p>
    <w:p>
      <w:pPr>
        <w:spacing w:after="0" w:line="21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When an opportunity satisfies our DownSelect criteria, we seek to acquire or license the MNC technology solution and use the initial business plans developed during our DownSelect process as the basis to launch a new “Innventure Company” with funding from our balance sheet. From an investor perspective, this model is intended to bring founder shares of a company with a target enterprise value of at least $1 billion onto the Innventure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sheet, which we believe can provide excellent potential returns to Innventure shareholders as described in more detail in this section.</w:t>
      </w:r>
    </w:p>
    <w:p>
      <w:pPr>
        <w:spacing w:after="0" w:line="25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Historically, and prior to the business combination, the Innventure model has targeted exits for our new companies at 5-7 years after inception through a sale, initial public offering or merger, including a merger with a special purpose acquisition company. We now believe this approach can result in exiting companies prior to their maximum shareholder value.</w:t>
      </w:r>
    </w:p>
    <w:p>
      <w:pPr>
        <w:spacing w:after="0" w:line="20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As we continue to advance the Innventure model, we are moving to an approach designed to allow us to build and hold companies, generating positive cash flows of one or more majority-owned Operating Companies and potentially maximizing value for investors and other stakeholders. As part of the new “Disruptive Conglomerate Model,” Innventure intends to retain majority (or sole) ownership. We believe that holding companies allows those companies to mature further and gives us the opportunity to derive greater value from those companies over the long term. While a sale or other disposition of one or more of our companies could occur in the future, exit transactions are not expected to be a factor in the business plans for AeroFlexx, Accelsius and Innventure’s future subsidiary companies that Innventure founds, funds, and operates going forward (the “Operating Companies”). We are currently deploying this advanced approach with Accelsius, and we will continue to deploy it following the business combination.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5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On October 24, 2023, Learn CW Investment Corporation, ("Learn CW") and Innventure LLC entered into a Business Combination Agreement with Learn SPAC HoldCo, Inc., ("Holdco"), LCW Merger Sub, Inc., a direct, wholly-owned subsidiary of Holdco ("LCW Merger Sub") and Innventure Merger Sub, LLC, a direct, wholly-owned subsidiary of Holdco ("Innventure Merger Sub" and, together with LCW Merger Sub, the "Merger Subs"). On September 30, 2024, the stockholders of Learn CW approved the business combination, and the business combination closed on October 2, 2024 (the "Closing Date"). The business combination was preliminarily accounted for as a reverse recapitalization and Innventure LLC has been determined to be the accounting acquirer and the Predecessor under the preliminary analysis. The information provided in this Form 10-Q only reflects the financial condition and results of operations of the Predecessor.</w:t>
      </w:r>
    </w:p>
    <w:p>
      <w:pPr>
        <w:spacing w:after="0" w:line="21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among other things, (i) LCW Merger Sub merged with and into Learn CW (the "LCW Merger"), with Learn CW as the surviving company of the LCW Merger and (ii) Innventure Merger Sub merged with and into Innventure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(who has been determined to be our Chief Operating Decision Maker), we have two reportable segments: (i) Corporate ("Corporate") and (ii) Technology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three and nine months ended September 30, 2024 includes the following highlights:</w:t>
      </w:r>
    </w:p>
    <w:p>
      <w:pPr>
        <w:spacing w:after="0" w:line="25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Technology segment began generating revenue related to its cooling systems for data centers.</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operational expenses of approximately $3,637 and $10,483, respectively, relate to public readiness activities connected with the business combination for the three and nine months ended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ind w:left="660"/>
        <w:spacing w:after="0" w:line="261" w:lineRule="auto"/>
        <w:rPr>
          <w:sz w:val="20"/>
          <w:szCs w:val="20"/>
          <w:color w:val="auto"/>
        </w:rPr>
      </w:pPr>
      <w:r>
        <w:rPr>
          <w:rFonts w:ascii="Times New Roman" w:cs="Times New Roman" w:eastAsia="Times New Roman" w:hAnsi="Times New Roman"/>
          <w:sz w:val="18"/>
          <w:szCs w:val="18"/>
          <w:color w:val="auto"/>
        </w:rPr>
        <w:t>2024. Increased headcount within both the Corporate and Technology segments accounted for approximately $1,793 and $7,000 for the three and nine months ended September 30, 2024, respectively.</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inflows from equity raises were approximately $26,981 compared to net cash outflows related to operating, investing and remaining financing activity of $13,259 for the nine months ended September 30, 2024.</w:t>
      </w:r>
    </w:p>
    <w:p>
      <w:pPr>
        <w:jc w:val="both"/>
        <w:ind w:left="66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filed several amendments to its registration statement on Form S-4 with the U.S. Securities and Exchange Commission (the “SEC”) during the three months ended September 30, 2024 as it progressed toward completion of the business combination and shareholders of Learn CW voted to approve the business combination on September 30, 2024, after receiving effectiveness notice from the SEC. As noted above, the business combination was subsequently completed on October 2,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2023 (in thousands, except as otherwise noted) (Unaudited)</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for the periods indicated and percentage of revenue for each line item.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19"/>
                <w:szCs w:val="19"/>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(4,645.5)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 %</w:t>
            </w:r>
          </w:p>
        </w:tc>
        <w:tc>
          <w:tcPr>
            <w:tcW w:w="0" w:type="dxa"/>
            <w:vAlign w:val="bottom"/>
          </w:tcPr>
          <w:p>
            <w:pPr>
              <w:spacing w:after="0"/>
              <w:rPr>
                <w:sz w:val="1"/>
                <w:szCs w:val="1"/>
                <w:color w:val="auto"/>
              </w:rPr>
            </w:pPr>
          </w:p>
        </w:tc>
      </w:tr>
      <w:tr>
        <w:trPr>
          <w:trHeight w:val="230"/>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(3,466.1)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320" w:type="dxa"/>
            <w:vAlign w:val="bottom"/>
            <w:gridSpan w:val="2"/>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Loss attributable to non-controlling</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(1,539.5)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80"/>
              <w:spacing w:after="0" w:line="160" w:lineRule="exact"/>
              <w:rPr>
                <w:sz w:val="20"/>
                <w:szCs w:val="20"/>
                <w:color w:val="auto"/>
              </w:rPr>
            </w:pPr>
            <w:r>
              <w:rPr>
                <w:rFonts w:ascii="Times New Roman" w:cs="Times New Roman" w:eastAsia="Times New Roman" w:hAnsi="Times New Roman"/>
                <w:sz w:val="18"/>
                <w:szCs w:val="18"/>
                <w:b w:val="1"/>
                <w:bCs w:val="1"/>
                <w:color w:val="auto"/>
              </w:rPr>
              <w:t>Net Loss Attributable to Innventure</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LLC Unitholders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00" w:type="dxa"/>
            <w:vAlign w:val="bottom"/>
            <w:shd w:val="clear" w:color="auto" w:fill="CCEEFF"/>
          </w:tcPr>
          <w:p>
            <w:pPr>
              <w:spacing w:after="0"/>
              <w:rPr>
                <w:sz w:val="20"/>
                <w:szCs w:val="20"/>
                <w:color w:val="auto"/>
              </w:rPr>
            </w:pPr>
          </w:p>
        </w:tc>
        <w:tc>
          <w:tcPr>
            <w:tcW w:w="17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(1,926.6)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(1,998.9)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2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of taxes: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Unrealized loss on AFS debt securities -</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taxes</w:t>
            </w: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(28,854)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60.7 %</w:t>
            </w:r>
          </w:p>
        </w:tc>
        <w:tc>
          <w:tcPr>
            <w:tcW w:w="0" w:type="dxa"/>
            <w:vAlign w:val="bottom"/>
          </w:tcPr>
          <w:p>
            <w:pPr>
              <w:spacing w:after="0"/>
              <w:rPr>
                <w:sz w:val="1"/>
                <w:szCs w:val="1"/>
                <w:color w:val="auto"/>
              </w:rPr>
            </w:pPr>
          </w:p>
        </w:tc>
      </w:tr>
      <w:tr>
        <w:trPr>
          <w:trHeight w:val="184"/>
        </w:trPr>
        <w:tc>
          <w:tcPr>
            <w:tcW w:w="332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(1,539.5)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Net Comprehensive Loss Attributable to</w:t>
            </w: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(17,092)</w:t>
            </w: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(2,237.2)%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(17,850)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Innventure LLC Unitholders</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-3925570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-3925570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-3925570</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-3925570</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 meaningful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Revenue was $764 for the nine months ended September 30, 2024, as compared to $893 for the nine months ended September 30, 2023, a decrease of $129, or 14.4%. The decrease was primarily due to $225 of non-recurring consulting revenue generated to certain third parties for the nine months ended September 30, 2023. The decrease was partially offset by new product sales within the Technology segment during the nine months ended September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Cost of sales was $777 for the nine months ended September 30, 2024 as compared to $— for the nine months ended September 30, 2023, an increase of $777, or 100.0%. This increase is due to the fact that the Technology segment was pre-revenue in 2023 and started generating revenue from product sales during the nine months ended September 30, 2024. Cost of sales relate to those costs incurred to generate the new product sale revenue.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was $25,323 for the nine months ended September 30, 2024 as compared to $9,878 for the nine months ended September 30, 2023, an increase of $15,445, or 156.4%. This increase in expenditure was primarily attributed to an increase in professional services, legal fees, and consulting fees related to the business combination. The remaining increase in expenditure was due to increased employee costs as a result of increased headcount.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Sales and marketing expense was $4,178 for the nine months ended September 30, 2024 as compared to $1,901 for the nine months ended September 30, 2023, an increase of $2,277, or 119.8%. This was primarily due to increased compensation costs for both the Technology and Corporate segments (as a result of increased headcount), increases in public relations expenses, website expenses and marketing efforts and events. The Technology segment's commission expenses related to product revenue also contributed to the increase, as the segment’s first sales occurred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was $5,978 for the nine months ended September 30, 2024 as compared to $2,822 for the nine months ended September 30, 2023, an increase of $3,156 or 111.8%. This was primarily due to an increase in employee-related costs in the Technology segment and an increase in new product development costs also in the Technology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Non-operating (Expense) Income</w:t>
      </w:r>
    </w:p>
    <w:p>
      <w:pPr>
        <w:spacing w:after="0" w:line="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Total non-operating income was $9,011 for the nine months ended September 30, 2024 as compared to total non-operating expense of $4,243 for the nine months ended September 30, 2023, a net change of $13,254, or 312.4%. This was primarily due to an increase in the value of exchange traded investments in the current period as opposed to a decrease in the prior period. Additionally, equity method investment income was recognized due to Innventure's allocation of larger unrealized gains on the Innventus ESG Fund I, L.P. (the “ESG Fund”), offset by Innventure's portion of allocated loss on the AeroFlexx investment. These increases in income were partially offset by higher interest expense in the current period due to the debt financing as well as the loss on the conversion of promissory notes that was recognized in the first quarter of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8" w:name="page39"/>
    <w:bookmarkEnd w:id="38"/>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Loss attributable to non-controlling interest was $11,762 for the nine months ended September 30, 2024, as compared to $101 for the nine months ended September 30, 2023, an increase of $11,661, or 11,545.5%. This was due to the increase in Technology segment loss subject to allocable percentage during the nine months ended September 30, 2024 as compared to the nine months ended September 30, 2023, as well as an increase in total number of non-controlling interest unitholders.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Income/Loss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Other comprehensive loss was $2,373 for the nine months ended September 30, 2024, as compared to $— for the nine months ended September 30, 2023, an increase of $2,373, or 100.0%. This was due to the change in fair value of the new investment in debt securities of a related party which are classified as available-for-sale.</w:t>
      </w:r>
    </w:p>
    <w:p>
      <w:pPr>
        <w:spacing w:after="0" w:line="19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2024 and 2023 (in thousands, except as otherwise noted) (Unaudited)</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for the periods indicated and percentage of revenue for each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4,413.6</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2,186.1 %</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(4,313.6) %</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(4,817.5)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(145.7) %</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(2,410.4) %</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(6,903.6)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0" w:type="dxa"/>
            <w:vAlign w:val="bottom"/>
          </w:tcPr>
          <w:p>
            <w:pPr>
              <w:spacing w:after="0"/>
              <w:rPr>
                <w:sz w:val="1"/>
                <w:szCs w:val="1"/>
                <w:color w:val="auto"/>
              </w:rPr>
            </w:pPr>
          </w:p>
        </w:tc>
      </w:tr>
      <w:tr>
        <w:trPr>
          <w:trHeight w:val="155"/>
        </w:trPr>
        <w:tc>
          <w:tcPr>
            <w:tcW w:w="3320" w:type="dxa"/>
            <w:vAlign w:val="bottom"/>
            <w:gridSpan w:val="2"/>
            <w:shd w:val="clear" w:color="auto" w:fill="CCEEFF"/>
          </w:tcPr>
          <w:p>
            <w:pPr>
              <w:ind w:left="200"/>
              <w:spacing w:after="0" w:line="156" w:lineRule="exact"/>
              <w:rPr>
                <w:sz w:val="20"/>
                <w:szCs w:val="20"/>
                <w:color w:val="auto"/>
              </w:rPr>
            </w:pPr>
            <w:r>
              <w:rPr>
                <w:rFonts w:ascii="Times New Roman" w:cs="Times New Roman" w:eastAsia="Times New Roman" w:hAnsi="Times New Roman"/>
                <w:sz w:val="18"/>
                <w:szCs w:val="18"/>
                <w:color w:val="auto"/>
              </w:rPr>
              <w:t>Less: Loss attributable to non-controlling</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 %</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32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Innventure</w:t>
            </w: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LLC Unitholders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(697.5) %</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(6,887.2)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0" w:type="dxa"/>
            <w:vAlign w:val="bottom"/>
          </w:tcPr>
          <w:p>
            <w:pPr>
              <w:spacing w:after="0"/>
              <w:rPr>
                <w:sz w:val="1"/>
                <w:szCs w:val="1"/>
                <w:color w:val="auto"/>
              </w:rPr>
            </w:pPr>
          </w:p>
        </w:tc>
      </w:tr>
      <w:tr>
        <w:trPr>
          <w:trHeight w:val="250"/>
        </w:trPr>
        <w:tc>
          <w:tcPr>
            <w:tcW w:w="3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2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of taxes: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20" w:type="dxa"/>
            <w:vAlign w:val="bottom"/>
            <w:gridSpan w:val="2"/>
            <w:shd w:val="clear" w:color="auto" w:fill="CCEEFF"/>
          </w:tcPr>
          <w:p>
            <w:pPr>
              <w:ind w:left="140"/>
              <w:spacing w:after="0" w:line="178" w:lineRule="exact"/>
              <w:rPr>
                <w:sz w:val="20"/>
                <w:szCs w:val="20"/>
                <w:color w:val="auto"/>
              </w:rPr>
            </w:pPr>
            <w:r>
              <w:rPr>
                <w:rFonts w:ascii="Times New Roman" w:cs="Times New Roman" w:eastAsia="Times New Roman" w:hAnsi="Times New Roman"/>
                <w:sz w:val="18"/>
                <w:szCs w:val="18"/>
                <w:color w:val="auto"/>
              </w:rPr>
              <w:t>Unrealized loss on AFS debt securities -</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 %</w:t>
            </w:r>
          </w:p>
        </w:tc>
        <w:tc>
          <w:tcPr>
            <w:tcW w:w="8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taxes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100" w:type="dxa"/>
            <w:vAlign w:val="bottom"/>
          </w:tcPr>
          <w:p>
            <w:pPr>
              <w:spacing w:after="0"/>
              <w:rPr>
                <w:sz w:val="19"/>
                <w:szCs w:val="19"/>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(3,159.0)%</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(6,903.6)%</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8,902</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 %</w:t>
            </w: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3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Comprehensive Loss Attributable to</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(4,584)</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(1,446.1)%</w:t>
            </w:r>
          </w:p>
        </w:tc>
        <w:tc>
          <w:tcPr>
            <w:tcW w:w="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(18,871)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(6,887.2)%</w:t>
            </w: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14,287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Innventure LLC Unitholders</w:t>
            </w:r>
          </w:p>
        </w:tc>
        <w:tc>
          <w:tcPr>
            <w:tcW w:w="1140" w:type="dxa"/>
            <w:vAlign w:val="bottom"/>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-4105275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-4105275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-4105275</wp:posOffset>
            </wp:positionV>
            <wp:extent cx="59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-4105275</wp:posOffset>
            </wp:positionV>
            <wp:extent cx="59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 meaningful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Revenue was $317 for the three months ended September 30, 2024, as compared to $274 for the three months ended September 30, 2023, an increase of $43 or 15.7%. The increase was primarily due to new product sales within the Technology segment. This was partially offset by non-recurring consulting revenue generated to certain third parties for the three months ended September 30,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Cost of sales expense was $777 for the three months ended September 30, 2024 as compared to $— for the three months ended September 30, 2023, an increase of $777, or 100.0%. This increase is due to the fact that Accelsius was pre-revenue in 2023 and started generating revenue during the three months ended September 30, 2024. Cost of sales relate to those costs incurred to generate the new product sale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was $9,052 for the three months ended September 30, 2024 as compared to $4,054 for the three months ended September 30, 2023, a increase of $4,998, or 123.3%. This increase in expenditures was primarily attributed to an increase in professional services, legal fees, and consulting fees related to the business combination. The remaining increase in expenditures was due to increased employee costs as a result of increased headcount.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Sales and marketing expense was $1,629 for the three months ended September 30, 2024 as compared to $696 for the three months ended September 30, 2023, an increase of $933, or 134.1%. This was primarily due to increased compensation costs for both the Technology and Corporate segments as a result of increased headcount and increases in public relations expenses, website expenses and marketing efforts and events. The Technology segment's commissions expenses related to product revenue also contributed to the increase, as the segment's first sales occurred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R&amp;D expense was $2,533 for the three months ended September 30, 2024 as compared to $1,240 for the three months ended September 30, 2023, an increase of $1,293 or 104.3%. This was primarily due to increased employee costs in the Technology segment and an increase in new product development costs in the Corporate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Non-operating (Expense) Income</w:t>
      </w:r>
    </w:p>
    <w:p>
      <w:pPr>
        <w:spacing w:after="0" w:line="3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Total non-operating income was $6,033 for the three months ended September 30, 2024 as compared to the total non-operating expense of $13,200 for the three months ended September 30, 2023, a change of $19,233, or 145.7%. This was primarily due to an increase in the value of exchange traded investments in the current period as opposed to a decrease in the prior period. Additionally, equity method investment income was recognized due to Innventure's allocation of larger unrealized gains on the ESG Fund, offset by Innventure's portion of allocated loss on the AeroFlexx investment. Further, there was no loss realized in association with embedded derivative liabilities in the current period in comparison to a loss recognized in the prior period. These increases in income were partially offset by higher interest expenses in the current period due to additional debt financing.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25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Loss attributable to non-controlling interest was $5,430 for the three months ended September 30, 2024, as compared to $45 for the three months ended September 30, 2023, an increase of $5,385, or 11,966.7%. This was due to the increase in Technology segment loss subject to allocable percentage during the nine months ending September 30, 2024 as compared to the nine months ending September 30, 2023 , as well as an increase in total non-controlling interest unitholders.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Income/Loss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Other comprehensive loss was $2,373 for the three months ended September 30, 2024, as compared to $— for the three months ended September 30, 2023, a increase of $2,373, or 100.0%. This was due to the change in fair value of the new investment in debt securities of a related party which are classified as available-for-sale.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(in thousands, except as otherwise noted)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5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 assessing liquidity, we monitor and analyze cash on hand and operating expenditure commitments. Our liquidity needs are to meet working capital requirements and operating expense obligations. To date, and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business combination, we have financed our operations primarily through cash flows from investing and various financing activities.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following is a summary of the components of our current liquidity:</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6"/>
        </w:trPr>
        <w:tc>
          <w:tcPr>
            <w:tcW w:w="6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2"/>
                <w:szCs w:val="22"/>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(90,952)</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r>
    </w:tbl>
    <w:p>
      <w:pPr>
        <w:spacing w:after="0" w:line="31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our Operating Companies, funding needed to support other business opportunities and expenditures, and funding for working capital and general corporate purposes. Based on current projections, we believe we will require approximately $25 million to meet our liquidity requirements for the 12 months after the completion of the business combination.</w:t>
      </w:r>
    </w:p>
    <w:p>
      <w:pPr>
        <w:spacing w:after="0" w:line="20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expect to satisfy our liquidity requirements through cash on hand available after the share redemptions pursuant to the business combination, cash generated from our Operating Companies, the Standby Equity Purchase Agreement (the “SEPA”), dated October 24, 2023, entered into with Yorkville (maximum amount of $75,000, subject to various conditions), the WTI Facility (as defined below) (maximum amount of $50,000, subject to the satisfaction of certain conditions and achievement of certain commercial milestones by certain dates) as well as proceeds from additional financings completed by us or our Operating Companies. During the nine months ended September 30, 2024, the Corporate and Technology segments each raised approximately $13,932 and $14,468 of additional financing, in comparison to each respective segment raising approximately $8,771 and $100 during the nine months ended September 30, 2023. During the three months ended September 30, 2024, the Corporate and Technology segments each raised approximately $3,384 and $3,175 of additional financing, in comparison to each respective segment raising approximately $5,382 and $100 during the three months ended September 30,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Financing</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20, 2024, pursuant to an unsecured promissory note (the “Glockner Bridge Note”), Innventure borrowed $10,000 from Glockner Family Venture Fund (the “Glockner Lender”), a Florida limited partnership affiliated with Glockner Enterprises, as bridge financing until the Closing of the transactions related to the business combination. The outstanding principal amount and loan fee are due upon the later of October 15, 2024 and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 Amounts that are borrowed and repaid may not be re-borrowed. On August 22, 2024, pursuant to an unsecured promissory note (the “Scott Bridge Note”), Innventure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 Any amounts due under the Glockner Bridge Note and the Scott Bridge Note may each be repaid in lieu of cash, at the option of the Glockner Lender and Dr. Scott, respectively, in shares of preferred stock.</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2024, the Company and the Glockner Family Venture Fund amended and restated the Glockner Bridge Note (as amended, the “A&amp;R Glockner Bridge Note”). The A&amp;R Glockner Bridge Note was issued in the principal amount of $10.0 million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Family Venture Fund $1.0 million as a loan fee, which has not yet been repaid. As of the date hereof, no amounts have been repaid under the A&amp;R Glockner Bridge Note. As described above, Mr. Donnally serves as the managing member of the Glockner Family Venture Fund’s general partner, Bellringer Consulting Group LLC.</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 million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 million under the Scott Bridge Note, which has not yet been repaid. As of the date hereof, no amounts have been repaid under the A&amp;R Scott Bridge Note.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WTI Loan and Security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and the WTI Lenders entered into a joinder agreement, pursuant to which the Company became a co-borrower under the Loan and Security Agreement and related loan documents (collectively, the “Loan Documents”).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 only period of 12 months in the case of the First Tranche and 6 months in the case of each of the Second Tranche and the Third Tranche, in equal monthly installments over a period of thirty months.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the Company's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nine months ended September 30, 2024 and September 30,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20" w:type="dxa"/>
            <w:vAlign w:val="bottom"/>
          </w:tcPr>
          <w:p>
            <w:pPr>
              <w:spacing w:after="0"/>
              <w:rPr>
                <w:sz w:val="20"/>
                <w:szCs w:val="20"/>
                <w:color w:val="auto"/>
              </w:rPr>
            </w:pPr>
          </w:p>
        </w:tc>
        <w:tc>
          <w:tcPr>
            <w:tcW w:w="172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20"/>
                <w:szCs w:val="20"/>
                <w:color w:val="auto"/>
              </w:rPr>
            </w:pPr>
          </w:p>
        </w:tc>
      </w:t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(6,511)</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(4,227)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265.0 %</w:t>
            </w:r>
          </w:p>
        </w:tc>
      </w:tr>
      <w:tr>
        <w:trPr>
          <w:trHeight w:val="22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27,866</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269.9 %</w:t>
            </w:r>
          </w:p>
        </w:tc>
      </w:t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17,128</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w:t>
            </w: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-633730</wp:posOffset>
            </wp:positionV>
            <wp:extent cx="946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-633730</wp:posOffset>
            </wp:positionV>
            <wp:extent cx="939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-633730</wp:posOffset>
            </wp:positionV>
            <wp:extent cx="939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-633730</wp:posOffset>
            </wp:positionV>
            <wp:extent cx="94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Cash used in operating activities were $18,647 for the nine months ended September 30, 2024 as compared to $12,136 for the nine months ended September 30, 2023, an increase of $6,511, or 53.7%. The increase in cash used in operating activities is primarily related to change in net loss related to changes in the fair value of our investments and other financial instruments, additional costs incurred in connection with the Business Combination, increased employee compensation costs associated with increased headcount, and increased expenditures on inventory as the Technology segment began preparing for product sales. This increase was partially offset by advance receipt of funds for equity issuances expected to occur after the Business Combination.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2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were $5,822 for the nine months ended September 30, 2024 as compared to cash used in investing activities of $1,595 for the nine months ended September 30, 2023, an increase of $4,227 or 265.0%. The increase is primarily related to investment in available for sale debt securities and increased acquisitions of property, plant and equipment and partially offset by increased proceeds received related to PCT stock 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were $38,191 for the nine months ended September 30, 2024 as compared to $10,325 for the nine months ended September 30, 2023, an increase of $27,866 or 269.9%. The increase was primarily related to proceeds from the issuance of securities, issuance of units to non-controlling interest and related party notes payable. This increase was partially offset by increased repayment of debt.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jc w:val="both"/>
        <w:ind w:firstLine="360"/>
        <w:spacing w:after="0" w:line="268" w:lineRule="auto"/>
        <w:rPr>
          <w:sz w:val="20"/>
          <w:szCs w:val="20"/>
          <w:color w:val="auto"/>
        </w:rPr>
      </w:pPr>
      <w:r>
        <w:rPr>
          <w:rFonts w:ascii="Times New Roman" w:cs="Times New Roman" w:eastAsia="Times New Roman" w:hAnsi="Times New Roman"/>
          <w:sz w:val="18"/>
          <w:szCs w:val="18"/>
          <w:color w:val="auto"/>
        </w:rPr>
        <w:t>Refer to Note 5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to our condensed consolidated financial statements for the three and nine months ended September 30, 2024 included in Item 1 of this Form 10-Q for a discussion of our indebtedness.</w:t>
      </w:r>
    </w:p>
    <w:p>
      <w:pPr>
        <w:spacing w:after="0" w:line="20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combination with the capital raises and in order to finance continued operations and transaction costs, Innventure converted $396 of Series 1 promissory notes into Class B Preferred Units as detailed in the condensed consolidated financial statements for the nine months ended September 30, 2024. Furthermore, Innventure extended eligible Series 1 promissory notes with an aggregate outstanding principal of $543 for an additional 12-month period with an average increase to the related interest rate of 3%. The 8% convertible promissory notes were converted to equity of the Technology segment in the amount of $6,755, thereby reducing indebtedness accordingly.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September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r>
      <w:tr>
        <w:trPr>
          <w:trHeight w:val="248"/>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-487680</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-487680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-487680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-487680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-487680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-487680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had, and may potentially continue to have, an ongoing need to raise additional cash from outside sources to fund our growth plans and related operations. We believe the successful transition to attaining profitable operations is dependent upon achieving a level of revenues from our Operating Companies adequate to support our cost structure. 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the consolidated financial statements included in Item 1 of this Form 10-Q. If we are unable to realize our assets, obtain adequate capital from the SEPA, the WTI Facility or otherwise generate sufficient revenues to support our cost structure within the normal operating cycle of a twelve (12) month period, we may have to consider supplementing our available sources of funds through:</w:t>
      </w:r>
    </w:p>
    <w:p>
      <w:pPr>
        <w:spacing w:after="0" w:line="21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raising transactions; or</w:t>
      </w:r>
    </w:p>
    <w:p>
      <w:pPr>
        <w:spacing w:after="0" w:line="9"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support from our related parties and shareholders.</w:t>
      </w:r>
    </w:p>
    <w:p>
      <w:pPr>
        <w:spacing w:after="0" w:line="1"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18"/>
          <w:szCs w:val="18"/>
          <w:color w:val="auto"/>
        </w:rPr>
        <w:t xml:space="preserve">We can make no assurances that required financings will be available for the amounts needed, or on terms commercially acceptable to us, if at all. If one or all of these events does not occur or subsequent capital raises are insufficient to bridge financial and liquidity shortfalls (or both), there would likely be a material adverse effect on our business and financial condition that would materially adversely affect our ability to continue as a going concern. See </w:t>
      </w:r>
      <w:r>
        <w:rPr>
          <w:rFonts w:ascii="Times New Roman" w:cs="Times New Roman" w:eastAsia="Times New Roman" w:hAnsi="Times New Roman"/>
          <w:sz w:val="18"/>
          <w:szCs w:val="18"/>
          <w:i w:val="1"/>
          <w:iCs w:val="1"/>
          <w:color w:val="auto"/>
        </w:rPr>
        <w:t xml:space="preserve">"Item 1A. Risk Factors – Risk’s Related to Innventure’s Business – There is uncertainty regarding Innventure's ability to maintain liquidity sufficient to operate its business effectively, which raises substantial doubt about its ability to continue as a going concern." </w:t>
      </w:r>
      <w:r>
        <w:rPr>
          <w:rFonts w:ascii="Times New Roman" w:cs="Times New Roman" w:eastAsia="Times New Roman" w:hAnsi="Times New Roman"/>
          <w:sz w:val="18"/>
          <w:szCs w:val="18"/>
          <w:color w:val="auto"/>
        </w:rPr>
        <w:t>in this Form 10-Q.</w:t>
      </w:r>
    </w:p>
    <w:p>
      <w:pPr>
        <w:spacing w:after="0" w:line="22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that we will continue as a going concern and, accordingly, do not include any adjustments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45" w:name="page46"/>
    <w:bookmarkEnd w:id="45"/>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Refer to Note 2. Accounting Policies to our consolidated financial statements for the year ended December 31, 2023 included in the Proxy Statement/Prospectus for a discussion of our critical accounting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(the "Exchange Act") and are not required to provide the information required under this Item.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accordance with Rule 13a-15(b) of the Exchange Act, as of the end of the period covered by this Quarterly Report on Form 10-Q, the Company’s management evaluated, with the participation of the Company’s Chief Executive Officer and Chief Financial Officer, the effectiveness of the Company’s disclosure controls and procedures (as defined in Rule 13a-15(e) under the Exchange Act).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that evaluation, the Chief Executive Officer and the Chief Financial Officer have concluded that the Company's disclosure controls and procedures were not effective at a reasonable level of assurance as of September 30, 2024, because of the material weaknesses in our internal control over financial reporting.</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including our Chief Executive Officer and Chief Financial Officer, does not expect that the Company's disclosure controls and procedures or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weaknesses identified were as follows:</w:t>
      </w:r>
    </w:p>
    <w:p>
      <w:pPr>
        <w:spacing w:after="0" w:line="239" w:lineRule="exact"/>
        <w:rPr>
          <w:sz w:val="20"/>
          <w:szCs w:val="20"/>
          <w:color w:val="auto"/>
        </w:rPr>
      </w:pPr>
    </w:p>
    <w:p>
      <w:pPr>
        <w:jc w:val="both"/>
        <w:ind w:left="660" w:hanging="328"/>
        <w:spacing w:after="0" w:line="24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did not include necessary information technology general controls including related to (i) periodic user access reviews, (ii) user provisioning and de-provisioning, (iii) restriction of privileged access, (iv) authentication settings;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effectively designed and implemented controls over the costing and existence of inventory as of September 30, 2024, including controls over the calculation of such inventory on the weighted average basis;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have sufficient controls related to review of accounting treatment related to equity of publicly traded securities that it holds. As a result, there were several material audit adjustments related to these areas including adjustment of unrealized gains/losses on shares of PCT to fair value;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Innventure's system of internal controls over financial reporting did not include adequate segregation of duties or review of periodic account reconciliations and financial reporting prepared by accounting personnel, leading to material misstatements in the financial statements relating to the value of the liability of PCT shares owed to others and the change in the liability of shares owed to others.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(c) segregation of duties and (d) review of accounting treatment related to equity of publicly traded securities.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in the process of establishing and is refining its internal procedures and controls to address the material weaknesses previously disclosed.</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18"/>
          <w:szCs w:val="18"/>
          <w:color w:val="auto"/>
        </w:rPr>
        <w:t>There are presently no material pending legal proceedings to which the Company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of the other information included in this Form 10-Q. The market price of the Company’s Common Stock could decline due to any of these risks, in which case you could lose all or part of your investment. In assessing these risks, you should also refer to the other information included in this Form 10-Q, including the unaudited condensed consolidated interim financial statements and notes thereto and the section entitled “Management’s Discussion and Analysis of Financial Condition and Results of Operations.” The Company’s business, financial condition or results of operations could be affected materially and adversely by any of the risks discussed below. We cannot assure you that any of the events discussed below will not occur.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Innventure’s Business</w:t>
      </w:r>
    </w:p>
    <w:p>
      <w:pPr>
        <w:spacing w:after="0" w:line="25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principal revenues are expected to be earned in the future through its subsidiaries and through the Innventure Companies, and Innventure may depend on its subsidiaries for cash.</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Innventure’s principal operation is to partner with MNCs to acquire new intellectual property through newly-created entities where Innventure supports the initial funding and management of the company. Innventure also conducts operations through its subsidiaries, including the investment management services provided to the ESG Fund.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or any subsidiary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 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subsidiaries from making distributions, paying dividends or making loans to Innventure.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successful in finding future opportunities to license or acquire breakthrough technology solutions from MNCs.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Innventure relies on its ability to identify and acquire breakthrough technology solutions from MNCs to create and operate new entities that generate future revenues. If Innventure is unable to reach agreements with MNCs on acceptable terms for license or acquisition of intellectual property related to certain technology solutions, Innventure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8" w:name="page49"/>
    <w:bookmarkEnd w:id="48"/>
    <w:p>
      <w:pPr>
        <w:ind w:right="120"/>
        <w:spacing w:after="0" w:line="258" w:lineRule="auto"/>
        <w:rPr>
          <w:sz w:val="20"/>
          <w:szCs w:val="20"/>
          <w:color w:val="auto"/>
        </w:rPr>
      </w:pPr>
      <w:r>
        <w:rPr>
          <w:rFonts w:ascii="Times New Roman" w:cs="Times New Roman" w:eastAsia="Times New Roman" w:hAnsi="Times New Roman"/>
          <w:sz w:val="18"/>
          <w:szCs w:val="18"/>
          <w:color w:val="auto"/>
        </w:rPr>
        <w:t>may have to curtail the founding and operating of new subsidiary companies that Innventure founds, funds and operates going forward (such companies, together with AFX and ACC, “Operating Companies”).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Innventure Companies are currently early commercial stage companies that may never achieve or sustain profitability.</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 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w:t>
      </w:r>
    </w:p>
    <w:p>
      <w:pPr>
        <w:spacing w:after="0" w:line="20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Innventure or the Innventure Companies are not able to satisfy the requirements imposed by MNC partners or have disagreements with those MNC partners, their relationships with these partners could deteriorate, which could have a material adverse effect on the business of Innventure and the Innventure Companies.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Innventure and the Innventure Companies’ agreements with The Procter &amp; Gamble Company (“P&amp;G”) and the Nokia Corporation (“Nokia”), and any agreements they may enter with future MNC partners, they may be required to obtain or provide certain permits, licenses or other authorizations, provide certain fiscal indemnification to their MNC partners and meet various other terms and conditions. If Innventure and the Innventure Companies fail to comply with the terms and conditions of the applicable MNC agreement, they may incur liabilities to their MNC partners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MNC partners could be impeded and the underlying value of Innventure’s business could decline significantly.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able to obtain additional financing to fund the operations and growth of the business.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The WTI Facility may impair Innventure LLC’s, the Company’s and the Operating Companies’ financial and operating flexibility.</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WTI Facility provides for a term loan facility in an aggregate principal amount of up to $50 million, of which (i) the First Tranche will be made available after October 22, 2024 and through November 15, 2024; (ii) the Second Tranche will be made available after November 1, 2024 and through November 30, 2024; and (iii) the Third Tranche will be made available after December 31, 2024 and through January 31, 2025 (provided that up to $7.5 million of the Third Tranche will be made available until March 31, 2025).</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receipt of any funds under the WTI Facility is subject to the satisfaction of certain conditions by certain deadlines,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Innventure is unable to satisfy the conditions, certain of which are outside of its control, set forth in the Loan Documents with respect to a particular tranche, Innventure will not receive the funds otherwise available under that tranche and, if Innventure is unable to satisfy the conditions, certain of which are outside of its control, set forth in any of the tranches, Innventure will receive no funds from the WTI Facility.</w:t>
      </w:r>
    </w:p>
    <w:p>
      <w:pPr>
        <w:spacing w:after="0" w:line="20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These restrictions will be imposed upon Innventure LLC, the Company and the Operating Companies until March 31, 2025, even if no WTI Facility loans are made by that date.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WTI on a timely basis, or at all.</w:t>
      </w:r>
    </w:p>
    <w:p>
      <w:pPr>
        <w:spacing w:after="0" w:line="2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WTI Facility will be available to Innventure when requested, or at all. The restrictions imposed by the WTI Facility on Innventure LLC, the Company and the Operating Companies may make it more difficult for them to operate their businesses or implement their growth plans going forward. Furthermore, these restrictions will be imposed upon Innventure LLC, the Company and the Operating Companies until March 31, 2025, even if no funds are provided to Innventure pursuant to the WTI Facility.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w:t>
      </w:r>
    </w:p>
    <w:p>
      <w:pPr>
        <w:spacing w:after="0" w:line="21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Innventure will sell under the SEPA to Yorkville, or the actual gross proceeds resulting from those sales.</w:t>
      </w:r>
    </w:p>
    <w:p>
      <w:pPr>
        <w:spacing w:after="0" w:line="2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in the SEPA and compliance with applicable law, Innventure has the discretion to deliver notices to Yorkville at any time throughout the term of the SEPA. The actual number of shares of Common Stock that are issued and sold to Yorkville depends on a number of factors, including the market price of Innventure’s Common Stock during the sales period. Actual gross proceeds may be less than $75.0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w:t>
      </w:r>
    </w:p>
    <w:p>
      <w:pPr>
        <w:spacing w:after="0" w:line="2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Moreover, although the SEPA provides that Innventure may sell up to an aggregate of $75.0 million of its Common Stock to Yorkville, Innventure is only registering the resale by Yorkville of up to 4,418,307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0" w:name="page51"/>
    <w:bookmarkEnd w:id="50"/>
    <w:p>
      <w:pPr>
        <w:spacing w:after="0" w:line="253" w:lineRule="auto"/>
        <w:rPr>
          <w:sz w:val="20"/>
          <w:szCs w:val="20"/>
          <w:color w:val="auto"/>
        </w:rPr>
      </w:pPr>
      <w:r>
        <w:rPr>
          <w:rFonts w:ascii="Times New Roman" w:cs="Times New Roman" w:eastAsia="Times New Roman" w:hAnsi="Times New Roman"/>
          <w:sz w:val="18"/>
          <w:szCs w:val="18"/>
          <w:color w:val="auto"/>
        </w:rPr>
        <w:t>Innventure’s Common Stock that may be issued without exceeding the 9.99% prong of the exchange cap set forth in the SEPA. If Innventure elects to issue and sell to Yorkville all of the shares registered for resale to Yorkville, depending on the market prices of its Common Stock for each purchase made pursuant to the SEPA, the actual gross proceeds from the sale of the shares may be substantially less than the $75.0 million total commitment available to Innventure under the SEPA. If it becomes (i) necessary for Innventure to issue and sell to Yorkville under the SEPA more shares than the shares registered for resale by Yorkville in order to receive the aggregate gross proceeds equal to $75.0 million under the SEPA and (ii) if Innventure is able to sell more shares than the shares registered for resale by Yorkville while still complying with the exchange cap, then Innventure will need to file with the SEC one or more additional registration statements to register under the Securities Act the resale by Yorkville of any such additional shares of Innventure’s Common Stock over the shares registered for resale by Yorkville and such registration statements would need to be declared effective by the SEC, in each case before Innventure may elect to sell any additional shares of Innventure’s Common Stock to Yorkville under the SEPA, a process which will take time and incur additional expense.</w:t>
      </w:r>
    </w:p>
    <w:p>
      <w:pPr>
        <w:spacing w:after="0" w:line="2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Any issuance and sale by Innventure under the SEPA of a substantial amount of shares of Common Stock in addition to the shares already registered for resale to Yorkville could cause additional substantial dilution to Innventure’s stockholders. The number of shares of Innventure’s Common Stock ultimately offered for resale by Yorkville is dependent upon the number of shares of Common Stock, if any, Innventure ultimately sells to Yorkville under the SEPA.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extent to which the Company will, intends to, or may rely on Yorkville and the SEPA as a source of funding.</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SEPA, Innventure may, at its discretion, issue and sell to Yorkville up to $75.0 million of shares of Innventure’s Common Stock under the SEPA from time-to-time. The purchase price per share for the shares of Common Stock that Innventure may elect to sell to Yorkville under the SEPA will fluctuate based on the market prices of Innventure’s Common Stock for each purchase made pursuant to the SEPA, if any. Accordingly, it is not currently possible to predict the number of shares that will be issued and sold to Yorkville, the actual purchase price per share to be paid by Yorkville for those shares, if any, or the actual gross proceeds to be raised in connection with those sales.</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extent to which Innventure will rely on Yorkville as a source of funding will depend on a number of factors including, the prevailing market price of Innventure’s Common Stock and the extent to which Innventure is able to secure working and other capital from other sources. If obtaining sufficient funding from Yorkville were to prove unavailable or prohibitively dilutive, Innventure may need to secure additional 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w:t>
      </w:r>
    </w:p>
    <w:p>
      <w:pPr>
        <w:spacing w:after="0" w:line="2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success will depend on its ability to attract and retain personnel and manage human capital both for itself and the Innventure Companies, while controlling labor costs.</w:t>
      </w:r>
    </w:p>
    <w:p>
      <w:pPr>
        <w:spacing w:after="0" w:line="18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Innventure’s future success depends on its ability to attract, recruit, train, retain, motivate and integrate key personnel for itself and the Innventure Companies, including its management team, key executives, and other key talent, and the management team and key research and development,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at-will and may end at any point in time. In addition, all of Innventure and the Innventure Companies’ employees are at-will, which means that either they or the employee may terminate their employment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ind w:right="40"/>
        <w:spacing w:after="0" w:line="254" w:lineRule="auto"/>
        <w:rPr>
          <w:sz w:val="20"/>
          <w:szCs w:val="20"/>
          <w:color w:val="auto"/>
        </w:rPr>
      </w:pPr>
      <w:r>
        <w:rPr>
          <w:rFonts w:ascii="Times New Roman" w:cs="Times New Roman" w:eastAsia="Times New Roman" w:hAnsi="Times New Roman"/>
          <w:sz w:val="18"/>
          <w:szCs w:val="18"/>
          <w:color w:val="auto"/>
        </w:rPr>
        <w:t>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w:t>
      </w:r>
    </w:p>
    <w:p>
      <w:pPr>
        <w:spacing w:after="0" w:line="21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w:t>
      </w:r>
    </w:p>
    <w:p>
      <w:pPr>
        <w:spacing w:after="0" w:line="21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regarding Innventure’s ability to maintain liquidity sufficient to operate its business effectively, which raises substantial doubt about its ability to continue as a going concern.</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LLC’s historical financial statements have each been prepared under the assumption that the Company will continue as a going concern. The independent registered public accounting firm for Innventure LLC issued a report on the audited financial statement for the years ended December 31, 2023 and December 31, 2022 for Innventure LLC that includes an explanatory paragraph expressing substantial doubt in Innventure LLC’s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partnerships, including partnerships with MNCs. Additionally, if Innventure is unable to continue as a going concern, investors, including holders of Common Stock, may lose some or all of their investment.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may lose some or all of your investment.</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fluctuate significantly due to a number of factors, some of which may be beyond our control, including those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many others,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spacing w:after="0" w:line="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actual or anticipated fluctuations in Innventure’s financial condition and operating results, including fluctuations in its quarterly and annual results;</w:t>
      </w:r>
    </w:p>
    <w:p>
      <w:pPr>
        <w:spacing w:after="0" w:line="246" w:lineRule="exact"/>
        <w:rPr>
          <w:rFonts w:ascii="Arial" w:cs="Arial" w:eastAsia="Arial" w:hAnsi="Arial"/>
          <w:sz w:val="21"/>
          <w:szCs w:val="21"/>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developments involving Innventure’s competitors;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laws and regulations affecting Innventure’s business;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variations in Innventure’s operating performance and the performance of its competitors in general;</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the public’s reaction to Innventure’s press releases, its other public announcements and its filings with the SEC;</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additions and departures of key personnel;</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Innventure or its competitors;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Innventure’s failure to meet the estimates and projections of the investment community or that it may otherwise provide to the public;</w:t>
      </w:r>
    </w:p>
    <w:p>
      <w:pPr>
        <w:spacing w:after="0" w:line="278" w:lineRule="exact"/>
        <w:rPr>
          <w:rFonts w:ascii="Arial" w:cs="Arial" w:eastAsia="Arial" w:hAnsi="Arial"/>
          <w:sz w:val="22"/>
          <w:szCs w:val="22"/>
          <w:color w:val="auto"/>
        </w:rPr>
      </w:pPr>
    </w:p>
    <w:p>
      <w:pPr>
        <w:ind w:left="660" w:right="520" w:hanging="328"/>
        <w:spacing w:after="0" w:line="234"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publication of research reports about Innventure’s industry, or positive or negative recommendations or withdrawal of research coverage by securities analysts;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market valuations of similar companies;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overall performance of the equity markets;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sales of the Common Stock by Innventure or its stockholders in the future;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trading volume of the Common Stock;</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lawsuits, including shareholder litigation;</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comply with the requirements of Nasdaq;</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industry and market conditions other events or factors, many of which are beyond Innventure’s control;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Innventure’s share price could subject Innventure to securities class action litigation.</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Innventure, or publish negative reports, then Innventure’s stock price and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ind w:right="10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does not currently intend to pay dividends on its Common Stock, and, consequently, your ability to achieve a return on your investment will depend on appreciation, if any, in the price of our Common Stock.</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may depress its stock price.</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insiders of Innventure LLC (each, a “Lock-Up Party”) entered into lock-up agreements (the “Lock-Up Agreements”) with the Company. Subject to certain exceptions, the Lock-Up Agreements provide for certain restrictions on transfer with respect to Common Stock held by certain stockholders of Innventure. Such restriction began upon the Closing Date and will end upon the earlier of (A) the expiration of one year after the Closing, and (B) subsequent to the Closing, (i) if the closing price of our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the Company having the right to exchange their Common Stock for cash securities or other property. Additionally, certain other shareholders of Innventure, previous Innventure LLC and Learn CW equity holders, are subject to lock-ups which also provide for certain restrictions on transfer with respect to the Common Stock held by such stockholders of Innventure.</w:t>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Following the expiration of the applicable lock-up periods, such equity holders will not be restricted from selling shares of Common Stock held by them, other than by applicable securities laws.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currently restricted shares sell them or are perceived by the market as intending to sell them.</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A&amp;R Certificate of Incorporation and under Delaware law could discourage a takeover that stockholders may consider favorable and may lead to entrenchment of management.</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and our By-laws (as amended and restated, the “Bylaws”) contain provisions that could significantly reduce the value of the common stock to a potential acquirer or delay or prevent changes in control or changes in our management without the consent of Innventure’s Board of Directors (the “Board”). The provisions in Innventure’s charter documents include the following:</w:t>
      </w:r>
    </w:p>
    <w:p>
      <w:pPr>
        <w:spacing w:after="0" w:line="243" w:lineRule="exact"/>
        <w:rPr>
          <w:sz w:val="20"/>
          <w:szCs w:val="20"/>
          <w:color w:val="auto"/>
        </w:rPr>
      </w:pPr>
    </w:p>
    <w:p>
      <w:pPr>
        <w:ind w:left="660" w:right="60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4" w:name="page55"/>
    <w:bookmarkEnd w:id="54"/>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65" w:lineRule="exact"/>
        <w:rPr>
          <w:rFonts w:ascii="Arial" w:cs="Arial" w:eastAsia="Arial" w:hAnsi="Arial"/>
          <w:sz w:val="22"/>
          <w:szCs w:val="22"/>
          <w:color w:val="auto"/>
        </w:rPr>
      </w:pPr>
    </w:p>
    <w:p>
      <w:pPr>
        <w:ind w:left="660" w:right="18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 of directors;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prohibition on removal of directors without cause;</w:t>
      </w:r>
    </w:p>
    <w:p>
      <w:pPr>
        <w:spacing w:after="0" w:line="278" w:lineRule="exact"/>
        <w:rPr>
          <w:rFonts w:ascii="Arial" w:cs="Arial" w:eastAsia="Arial" w:hAnsi="Arial"/>
          <w:sz w:val="22"/>
          <w:szCs w:val="22"/>
          <w:color w:val="auto"/>
        </w:rPr>
      </w:pPr>
    </w:p>
    <w:p>
      <w:pPr>
        <w:ind w:left="660" w:right="120" w:hanging="328"/>
        <w:spacing w:after="0" w:line="256" w:lineRule="auto"/>
        <w:tabs>
          <w:tab w:leader="none" w:pos="65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230" w:lineRule="exact"/>
        <w:rPr>
          <w:rFonts w:ascii="Arial" w:cs="Arial" w:eastAsia="Arial" w:hAnsi="Arial"/>
          <w:sz w:val="21"/>
          <w:szCs w:val="21"/>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the Board to alter the Bylaws without obtaining stockholder approval;</w:t>
      </w:r>
    </w:p>
    <w:p>
      <w:pPr>
        <w:spacing w:after="0" w:line="265" w:lineRule="exact"/>
        <w:rPr>
          <w:rFonts w:ascii="Arial" w:cs="Arial" w:eastAsia="Arial" w:hAnsi="Arial"/>
          <w:sz w:val="22"/>
          <w:szCs w:val="22"/>
          <w:color w:val="auto"/>
        </w:rPr>
      </w:pPr>
    </w:p>
    <w:p>
      <w:pPr>
        <w:ind w:left="660" w:right="12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required approval of at least 2/3 of the shares entitled to vote to amend or repeal the Bylaws or amend, alter or repeal certain provisions of the A&amp;R Certificate of Incorporation;</w:t>
      </w:r>
    </w:p>
    <w:p>
      <w:pPr>
        <w:spacing w:after="0" w:line="267"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Innventure’s stockholders;</w:t>
      </w:r>
    </w:p>
    <w:p>
      <w:pPr>
        <w:spacing w:after="0" w:line="267" w:lineRule="exact"/>
        <w:rPr>
          <w:rFonts w:ascii="Arial" w:cs="Arial" w:eastAsia="Arial" w:hAnsi="Arial"/>
          <w:sz w:val="22"/>
          <w:szCs w:val="22"/>
          <w:color w:val="auto"/>
        </w:rPr>
      </w:pPr>
    </w:p>
    <w:p>
      <w:pPr>
        <w:ind w:left="660" w:right="320" w:hanging="328"/>
        <w:spacing w:after="0" w:line="24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261" w:lineRule="exact"/>
        <w:rPr>
          <w:rFonts w:ascii="Arial" w:cs="Arial" w:eastAsia="Arial" w:hAnsi="Arial"/>
          <w:sz w:val="22"/>
          <w:szCs w:val="22"/>
          <w:color w:val="auto"/>
        </w:rPr>
      </w:pPr>
    </w:p>
    <w:p>
      <w:pPr>
        <w:ind w:left="660" w:right="2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w:t>
      </w:r>
    </w:p>
    <w:p>
      <w:pPr>
        <w:spacing w:after="0" w:line="267"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advance notice procedures that stockholders must comply with in order to nominate candidates to the Board or to propose matters to be acted upon at a stockholders’ meeting, which may discourage or deter a potential acquiror from conducting a solicitation of proxies to elect the acquirer’s own slate of directors or otherwise attempting to obtain control of Innventure; and</w:t>
      </w:r>
    </w:p>
    <w:p>
      <w:pPr>
        <w:spacing w:after="0" w:line="267" w:lineRule="exact"/>
        <w:rPr>
          <w:rFonts w:ascii="Arial" w:cs="Arial" w:eastAsia="Arial" w:hAnsi="Arial"/>
          <w:sz w:val="22"/>
          <w:szCs w:val="22"/>
          <w:color w:val="auto"/>
        </w:rPr>
      </w:pPr>
    </w:p>
    <w:p>
      <w:pPr>
        <w:ind w:left="660" w:right="24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is subject to the anti-takeover provisions contained in Section 203 of the Delaware General Corporation Law, which will prevent Innventure from engaging in a business combination with any holder of 15% or more of its capital stock unless the holder has held the stock for three years or, among other exceptions, the Board has approved the transaction.</w:t>
      </w:r>
    </w:p>
    <w:p>
      <w:pPr>
        <w:spacing w:after="0" w:line="22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investor’s rights to bring legal action against Innventure and could limit the investor’s ability to obtain a favorable judicial forum for disputes with us.</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bookmarkStart w:id="55" w:name="page56"/>
    <w:bookmarkEnd w:id="55"/>
    <w:p>
      <w:pPr>
        <w:ind w:right="20"/>
        <w:spacing w:after="0" w:line="258" w:lineRule="auto"/>
        <w:rPr>
          <w:sz w:val="20"/>
          <w:szCs w:val="20"/>
          <w:color w:val="auto"/>
        </w:rPr>
      </w:pPr>
      <w:r>
        <w:rPr>
          <w:rFonts w:ascii="Times New Roman" w:cs="Times New Roman" w:eastAsia="Times New Roman" w:hAnsi="Times New Roman"/>
          <w:sz w:val="18"/>
          <w:szCs w:val="18"/>
          <w:color w:val="auto"/>
        </w:rPr>
        <w:t>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1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w:t>
      </w:r>
    </w:p>
    <w:p>
      <w:pPr>
        <w:spacing w:after="0" w:line="5" w:lineRule="exact"/>
        <w:rPr>
          <w:sz w:val="20"/>
          <w:szCs w:val="20"/>
          <w:color w:val="auto"/>
        </w:rPr>
      </w:pPr>
    </w:p>
    <w:p>
      <w:pPr>
        <w:ind w:right="160" w:firstLine="8"/>
        <w:spacing w:after="0" w:line="260"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service of process made upon such warrant holder in any such enforcement action by service upon such warrant holder’s counsel in the foreign action as agent for such warrant holder.</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2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we cannot be certain if the reduced reporting requirements applicable to emerging growth companies and smaller reporting companies will make our Common Stock less attractive to investors.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Innventure is an emerging growth company, as defined in the Jumpstart Our Business Startups Act of 2012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Innventure will remain an emerging growth company until the earlier of (1) December 31, 2029,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21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p>
      <w:pPr>
        <w:ind w:right="80"/>
        <w:spacing w:after="0" w:line="261" w:lineRule="auto"/>
        <w:rPr>
          <w:sz w:val="20"/>
          <w:szCs w:val="20"/>
          <w:color w:val="auto"/>
        </w:rPr>
      </w:pPr>
      <w:r>
        <w:rPr>
          <w:rFonts w:ascii="Times New Roman" w:cs="Times New Roman" w:eastAsia="Times New Roman" w:hAnsi="Times New Roman"/>
          <w:sz w:val="18"/>
          <w:szCs w:val="18"/>
          <w:color w:val="auto"/>
        </w:rPr>
        <w:t>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prospectus and Innventure’s periodic reports and proxy statements.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Innventure cannot predict if investors will find its Common Stock less attractive because Innventure may rely on these exemptions. If some investors find the Common Stock less attractive as a result, there may be a less active trading market for the Common Stock and its market price may be more volatile.</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offerings or issuances of equity securities by the Innventure may adversely affect the market price of the Common Stock or otherwise dilute all other stockholders.</w:t>
      </w:r>
    </w:p>
    <w:p>
      <w:pPr>
        <w:spacing w:after="0" w:line="18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the future, the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w:t>
      </w:r>
    </w:p>
    <w:p>
      <w:pPr>
        <w:spacing w:after="0" w:line="195"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color w:val="auto"/>
        </w:rPr>
        <w:t>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preferred shares, and lenders with respect to other borrowings would receive a distribution of Innventure’s available assets prior to the holders of Common Stock.</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the Innventure’s control, which may adversely affect the amount, timing and nature of the Innventure’s future offerings.</w:t>
      </w:r>
    </w:p>
    <w:p>
      <w:pPr>
        <w:spacing w:after="0" w:line="210"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in the United States requires management to make estimates and assumptions that affect the amounts reported in the financial statements and accompanying notes. Innventure will base its estimates on historical experience, known trends and events, and various other factors that it believes to be reasonable under the circumstances, as provided in the section entitled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Operations—Critical Accounting Estimates</w:t>
      </w:r>
      <w:r>
        <w:rPr>
          <w:rFonts w:ascii="Times New Roman" w:cs="Times New Roman" w:eastAsia="Times New Roman" w:hAnsi="Times New Roman"/>
          <w:sz w:val="18"/>
          <w:szCs w:val="18"/>
          <w:color w:val="auto"/>
        </w:rPr>
        <w:t>.” The results of these estimates form the basis for 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p>
      <w:pPr>
        <w:spacing w:after="0" w:line="2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Exclusive forum provisions in the A&amp;R Certificate of Incorporation and Bylaws could limit Innventure’s stockholders’ ability to choose their preferred judicial forum for disputes with Innventure or its directors, officers, or employees.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Bylaws provide that, unless Innventure consents in writing to the selection of an alternative forum, the sole and exclusive forum for specified legal actions is the Court of Chancery of the State of Delaware (the “Delaware Court”). Current and former stockholders are deemed to have consented to the personal jurisdiction of the Delaware Court in connection with any action to enforce that exclusive forum provision and to service of process in any such action. These exclusive forum provisions of the Bylaws do not apply to actions arising under federal securities laws including suits brought to enforce any liability or duty created by the Securities Act, the Exchange Act or any other claim for which the federal courts have exclusive jurisdiction. To the extent that these provisions of the Bylaws limit a current or former stockholder’s ability to select a judicial forum other than the Delaware Court, they might discourage the specified legal actions, might cause current or former stockholders to incur additional litigation-related expenses, and might result in outcomes unfavorable to current or former stockholders. A court might determine that these provisions of the Bylaws are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w:t>
      </w:r>
    </w:p>
    <w:p>
      <w:pPr>
        <w:spacing w:after="0" w:line="2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LLC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Innventure LLC's financial statements, certain material weaknesses were identified in Innventure LLC’s internal control over financial reporting. A material weakness is a deficiency, or combination of deficiencies, in internal control over financial reporting such that there is a reasonable possibility that a material misstatement of Innventure's interim or annual consolidated financial statements will not be prevented or detected on a timely basis. The material weaknesses identified were as follows:</w:t>
      </w:r>
    </w:p>
    <w:p>
      <w:pPr>
        <w:spacing w:after="0" w:line="247" w:lineRule="exact"/>
        <w:rPr>
          <w:sz w:val="20"/>
          <w:szCs w:val="20"/>
          <w:color w:val="auto"/>
        </w:rPr>
      </w:pPr>
    </w:p>
    <w:p>
      <w:pPr>
        <w:ind w:left="660" w:right="240" w:hanging="328"/>
        <w:spacing w:after="0" w:line="258" w:lineRule="auto"/>
        <w:tabs>
          <w:tab w:leader="none" w:pos="65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Innventure LLC's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251" w:lineRule="exact"/>
        <w:rPr>
          <w:rFonts w:ascii="Arial" w:cs="Arial" w:eastAsia="Arial" w:hAnsi="Arial"/>
          <w:sz w:val="21"/>
          <w:szCs w:val="21"/>
          <w:color w:val="auto"/>
        </w:rPr>
      </w:pPr>
    </w:p>
    <w:p>
      <w:pPr>
        <w:ind w:left="660" w:right="60" w:hanging="328"/>
        <w:spacing w:after="0" w:line="239"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LLC's system of internal controls over financial reporting did not include necessary information technology general controls including related to (i) periodic user access reviews, (ii) user provisioning and de-provisioning, (iii) restriction of privileged access, (iv) authentication settings;</w:t>
      </w:r>
    </w:p>
    <w:p>
      <w:pPr>
        <w:spacing w:after="0" w:line="226" w:lineRule="exact"/>
        <w:rPr>
          <w:rFonts w:ascii="Arial" w:cs="Arial" w:eastAsia="Arial" w:hAnsi="Arial"/>
          <w:sz w:val="22"/>
          <w:szCs w:val="22"/>
          <w:color w:val="auto"/>
        </w:rPr>
      </w:pPr>
    </w:p>
    <w:p>
      <w:pPr>
        <w:ind w:left="660" w:right="1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LLC did not maintain effectively designed and implemented controls over the costing and existence of inventory as of September 30, 2024, including controls over the calculation of such inventory on the weighted average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261" w:lineRule="exact"/>
        <w:rPr>
          <w:sz w:val="20"/>
          <w:szCs w:val="20"/>
          <w:color w:val="auto"/>
        </w:rPr>
      </w:pPr>
    </w:p>
    <w:p>
      <w:pPr>
        <w:ind w:left="660" w:right="80" w:hanging="328"/>
        <w:spacing w:after="0" w:line="23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Innventure LLC did not have sufficient controls related to review of accounting treatment related to equity of publicly traded securities that it holds. As a result, there were several material audit adjustments related to these areas including adjustment of unrealized gains/losses on shares of PCT to fair value; and</w:t>
      </w:r>
    </w:p>
    <w:p>
      <w:pPr>
        <w:spacing w:after="0" w:line="267" w:lineRule="exact"/>
        <w:rPr>
          <w:rFonts w:ascii="Arial" w:cs="Arial" w:eastAsia="Arial" w:hAnsi="Arial"/>
          <w:sz w:val="22"/>
          <w:szCs w:val="22"/>
          <w:color w:val="auto"/>
        </w:rPr>
      </w:pPr>
    </w:p>
    <w:p>
      <w:pPr>
        <w:ind w:left="660" w:right="80" w:hanging="328"/>
        <w:spacing w:after="0" w:line="23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in 2022, Innventure LLC's system of internal controls over financial reporting did not include adequate segregation of duties or review of periodic account reconciliations and financial reporting prepared by accounting personnel, leading to material misstatements in the financial statements relating to the value of the liability of PCT shares owed to others and the change in the liability of shares owed to others.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internal controls are necessary for Innventure to provide reliable financial reports and prevent fraud. Innventure has developed a remediation plan for the material weaknesses that have been identified, including enhancing its complement of resources with accounting and internal control knowledge through additional hiring and/or training to implement and perform additional controls over: (a) the initial subsequent accounting for complex and significant unusual transactions, (b) general IT controls, (c) segregation of duties and (d) review of accounting treatment related to equity of publically traded securities. Innventure is currently implementing this plan. Furthermore, Innventure has engaged additional external resources to assess its control environment and expects to further engage these external advisors to provide assistance with all elements of the design of the Company's program for internal controls over financial reporting, including:</w:t>
      </w:r>
    </w:p>
    <w:p>
      <w:pPr>
        <w:spacing w:after="0" w:line="256" w:lineRule="exact"/>
        <w:rPr>
          <w:sz w:val="20"/>
          <w:szCs w:val="20"/>
          <w:color w:val="auto"/>
        </w:rPr>
      </w:pPr>
    </w:p>
    <w:p>
      <w:pPr>
        <w:ind w:left="660" w:right="40" w:hanging="328"/>
        <w:spacing w:after="0" w:line="24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expanding Innventure's accounting and finance functions by hiring additional employees within its accounting and finance departments, which has not yet been initiated, and co-sourcing with third parties to augment Innventure’s accounting and finance functions;</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developing and implementing formal duties, processes and responsibilities within Innventure's accounting and finance systems;</w:t>
      </w:r>
    </w:p>
    <w:p>
      <w:pPr>
        <w:spacing w:after="0" w:line="265" w:lineRule="exact"/>
        <w:rPr>
          <w:rFonts w:ascii="Arial" w:cs="Arial" w:eastAsia="Arial" w:hAnsi="Arial"/>
          <w:sz w:val="22"/>
          <w:szCs w:val="22"/>
          <w:color w:val="auto"/>
        </w:rPr>
      </w:pPr>
    </w:p>
    <w:p>
      <w:pPr>
        <w:ind w:left="660" w:right="22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implementing additional controls relating to identification and treatment of unusual significant accounting matters within the financial close and reporting process on a go forward basis; and</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implementing additional controls around review of accounting treatment related to equity of publicly traded securities.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remediation measures may be time consuming, costly, and might place significant demands on Innventure's financial and operational resources. The specific time frames needed to fully remediate the identified material weaknesses have not yet been determined.</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Innventure cannot assure you that these measures will adequately remediate the material weaknesses described above. The implementation of these remediation measures is in the early stages and will require testing and validation of the design and operating effectiveness of Innventure's internal controls over multiple financial reporting cycles. As a result, because it is not clear if Innventure will be able to fully remediate the material weaknesses in a timely manner, there is a possibility that these control deficiencies or others may result in a material misstatement of Innventure's annual or interim financial statements that would not be prevented or detected on a timely basis.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Innventure is unable to successfully remediate the material weaknesses, or if in the future, Innventure identifies further material weaknesses in its internal controls over financial reporting, it may not detect errors on a 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ind w:right="120"/>
        <w:spacing w:after="0" w:line="255" w:lineRule="auto"/>
        <w:rPr>
          <w:sz w:val="20"/>
          <w:szCs w:val="20"/>
          <w:color w:val="auto"/>
        </w:rPr>
      </w:pPr>
      <w:r>
        <w:rPr>
          <w:rFonts w:ascii="Times New Roman" w:cs="Times New Roman" w:eastAsia="Times New Roman" w:hAnsi="Times New Roman"/>
          <w:sz w:val="18"/>
          <w:szCs w:val="18"/>
          <w:color w:val="auto"/>
        </w:rPr>
        <w:t>controls. Innventure may not be able to conclude on an ongoing basis that it has effective internal control over 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the SEC, and other regulatory authorities, and become subject to litigation from investors and stockholders, which could harm its reputation and its financial condition, or divert financial and management resources from its core business.</w:t>
      </w:r>
    </w:p>
    <w:p>
      <w:pPr>
        <w:spacing w:after="0" w:line="21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Innventure is deemed to be an investment company under the Investment Company Act, it will be subject to additional regulatory requirements and its activities may be restricted, including:</w:t>
      </w:r>
    </w:p>
    <w:p>
      <w:pPr>
        <w:spacing w:after="0" w:line="21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restrictions on the nature of its investments;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limitations on its ability to borrow;</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prohibitions on transactions with affiliates; and</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restrictions on the issuance of securities.</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Each of these may make it difficult for Innventure to run its business. In addition, the law may impose upon Innventure burdensome requirements, including:</w:t>
      </w:r>
    </w:p>
    <w:p>
      <w:pPr>
        <w:spacing w:after="0" w:line="21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as an investment company and subsequent regulation as an investment company;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adoption of a specific form of corporate structure;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intends to conduct its operations so that it is not required to register as an investment company under the Investment Company Act. Section 3(a) (1)(A)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exemption from the definition of investment company set forth in Section 3(c)(1) or Section 3(c)(7) of the Investment Company Act.</w:t>
      </w:r>
    </w:p>
    <w:p>
      <w:pPr>
        <w:spacing w:after="0" w:line="2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Furthermore, if Innventure were to operate its Operating Companies primarily for the purpose of making a profit in the sale of its Operating Companies' securities rather than retaining majority (or sole) ownership of such companies, it may increase the likelihood that Innventure could be deemed an investment company.</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Though Innventure does not expect exit transactions to be a factor in the business plans for its Operating Companies and does not believe that its principal activities will subject it to the Investment Company Act,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0" w:name="page61"/>
    <w:bookmarkEnd w:id="60"/>
    <w:p>
      <w:pPr>
        <w:ind w:right="160"/>
        <w:spacing w:after="0" w:line="282" w:lineRule="auto"/>
        <w:rPr>
          <w:sz w:val="20"/>
          <w:szCs w:val="20"/>
          <w:color w:val="auto"/>
        </w:rPr>
      </w:pPr>
      <w:r>
        <w:rPr>
          <w:rFonts w:ascii="Times New Roman" w:cs="Times New Roman" w:eastAsia="Times New Roman" w:hAnsi="Times New Roman"/>
          <w:sz w:val="18"/>
          <w:szCs w:val="18"/>
          <w:color w:val="auto"/>
        </w:rPr>
        <w:t>Innventure were deemed to be subject to the Investment Company Act, compliance with the additional regulatory burdens discussed above would require additional expense and attention from management for which Innventure has not accounted.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w:t>
      </w:r>
    </w:p>
    <w:p>
      <w:pPr>
        <w:spacing w:after="0" w:line="18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w:t>
      </w:r>
    </w:p>
    <w:p>
      <w:pPr>
        <w:ind w:right="20"/>
        <w:spacing w:after="0" w:line="218" w:lineRule="auto"/>
        <w:rPr>
          <w:sz w:val="20"/>
          <w:szCs w:val="20"/>
          <w:color w:val="auto"/>
        </w:rPr>
      </w:pPr>
      <w:r>
        <w:rPr>
          <w:rFonts w:ascii="Times New Roman" w:cs="Times New Roman" w:eastAsia="Times New Roman" w:hAnsi="Times New Roman"/>
          <w:sz w:val="18"/>
          <w:szCs w:val="18"/>
          <w:color w:val="auto"/>
        </w:rPr>
        <w:t>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w:t>
      </w:r>
    </w:p>
    <w:p>
      <w:pPr>
        <w:spacing w:after="0" w:line="2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CEO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financing transactions by the Operating Companies could impact your rights as a stockholder of Innventure.</w:t>
      </w:r>
    </w:p>
    <w:p>
      <w:pPr>
        <w:spacing w:after="0" w:line="24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Innventure and the Operating Companies expect to require additional financing to fund their operations or growth. These additional financing transactions could include transactions at the Operating Company level, such as Innventure’s sale of Operating Company equity, or the Operating Companies’ issuance of new equity. The issuance of new equity securities to third-party investors at the Operating Company level or the sale of a portion of Operating Company equity held by Innventure would reduce Innventure’s ownership interest in that Operating Company. Furthermore, the holders of those equity securities would have structural priority as compared to Innventure’s Common Stock with respect to that Operating Companies’ assets and will also have priority as to liquidation and dividend and other rights more favorable than Innventure’s Common Stock with respect to that Operating Company. This priority, or any reduction in Innventure’s ownership interest in any Operating Companies, may reduce the value of Innventure’s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Innventure Companies’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1" w:name="page62"/>
    <w:bookmarkEnd w:id="6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AeroFlexx’s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AeroFlexx currently relies on a single facility for all of its operations.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AFX currently relies solely on the operations at its facility in West Chester, Ohio (the “West Chester Facility”). Adverse changes or developments affecting the West Chester Facility could impair AFX’s ability to produce its packaging and its business and prospects, which would negatively affect its financial condition and results of operations. Any shutdown or period of reduced production at the West Chester Facility, which may be caused by regulatory noncompliance or other issues, as well as other factors beyond its control, such as severe weather conditions, natural disaster, fire, power interruption, work stoppage, disease outbreaks or pandemics, equipment failure, delay in supply delivery, or shortages of material, equipment, or labor, would significantly disrupt AFX’s ability to grow and produce liquid packaging products in a timely manner, meet its contractual obligations and operate its business. AFX’s equipment is costly to replace or repair, and AFX’s equipment supply chains may be disrupted in connection with pandemics, trade wars or other factors. If any material amount of AFX’s machinery were damaged, it would be unable to predict when, if at all, it could replace or repair such machinery or find co-manufacturers with suitable alternative machinery, which could adversely affect AFX’s business, financial condition, results of operations and prospects. Performance guarantees may not be sufficient to cover damages or losses, or the guarantors under such guarantees may not have the ability to pay. Any insurance coverage AFX has may not be sufficient to cover all of its potential losses and may not continue to be available to AFX on acceptable terms, or at all.</w:t>
      </w:r>
    </w:p>
    <w:p>
      <w:pPr>
        <w:spacing w:after="0" w:line="2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AFX is early in the development of its commercial production capacity and has not yet fully diversified suppliers for critical raw materials, specifically its film.</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fourth quarter of 2024. AFX intends to continue to work towards further diversifying its supplier base as product demand grows and multiple suppliers are needed to support business continuity, though there is no guaranty that such diversification will be successful.</w:t>
      </w:r>
    </w:p>
    <w:p>
      <w:pPr>
        <w:spacing w:after="0" w:line="2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increased demand across a range of industries, the global supply chain for certain raw materials and components has experienced significant strain. The global macroeconomic environment and geopolitical instability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AFX’s target customers, who are subject to cyclical downturns, to achieve success or maintain market share could adversely impact AFX’s sales and operating margins.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AFX’s plastic packaging can be used in the production of various consumer products. A customer’s ability to successfully develop, manufacture and market those products is integral to AFX’s success. Cyclical downturns and changing consumer preferences may negatively affect businesses that use AFX’s products, which could adversely affect sales and operating margins. Other factors that could adversely affect the business include (i) failure by a key customer to achieve success or maintain share in markets in which they sell products containing AFX’s materials, including as a result of customer preferences for products other than plastics, (ii) key customers using products developed by others that replace AFX’s business with such customers, (iii) delays in a key customer rolling out products utilizing new technologies developed by AFX, and (iv) operational decisions by a key customer that result in component substitution, inventory reductions and similar changes.</w:t>
      </w:r>
    </w:p>
    <w:p>
      <w:pPr>
        <w:spacing w:after="0" w:line="21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AFX is an early-stage company, and its limited operating history makes it difficult to evaluate its future prospects and the risks and challenges it may encounter.</w:t>
      </w:r>
    </w:p>
    <w:p>
      <w:pPr>
        <w:spacing w:after="0" w:line="18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AFX is early in the development of its commercial production capacity. Its limited operating history makes it difficult to evaluate AFX’s future prospects and the risks and challenges it may encounter. Risks and challenges AFX has faced or expects to face include, but are not limited to, its ability to:</w:t>
      </w:r>
    </w:p>
    <w:p>
      <w:pPr>
        <w:spacing w:after="0" w:line="18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commercialize its products;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design and deliver products of acceptable performance;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increase sales revenue;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forecast its revenue and budget for and manage its expenses;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attract new customers and commercial relationships;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compete successfully in the industry in which it operates;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plan for and manage capital expenditures for its current and future products;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find, contract with, and retain reliable and commercially reasonable materials, components, and inventory vendors;</w:t>
      </w:r>
    </w:p>
    <w:p>
      <w:pPr>
        <w:spacing w:after="0" w:line="278"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comply with existing and new or modified laws and regulations applicable to its business in and outside the United States, including compliance requirements of U.S. customs and export regulations;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 and respond to macroeconomic changes and changes in the markets in which it operates;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and enhance the value of its reputation and brand;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protect intellectual property;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hire, integrate and retain talented people at all levels of its organization;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defend itself in any legal proceeding that may arise and enforce its rights in any legal proceedings it may initiate; and</w:t>
      </w: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63" w:name="page64"/>
    <w:bookmarkEnd w:id="63"/>
    <w:p>
      <w:pPr>
        <w:spacing w:after="0" w:line="261" w:lineRule="exact"/>
        <w:rPr>
          <w:sz w:val="20"/>
          <w:szCs w:val="20"/>
          <w:color w:val="auto"/>
        </w:rPr>
      </w:pPr>
    </w:p>
    <w:p>
      <w:pPr>
        <w:ind w:left="660" w:right="60" w:hanging="328"/>
        <w:spacing w:after="0" w:line="234"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manage and mitigate the adverse effects on its business of any public health emergencies, natural disasters, widespread travel disruptions, security risks including IT security, data privacy, cyber risks, international conflicts, geopolitical tension and other events beyond its control.</w:t>
      </w:r>
    </w:p>
    <w:p>
      <w:pPr>
        <w:spacing w:after="0" w:line="22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AFX fails to address the risks and difficulties that it faces, including those associated with the challenges listed above, its business, financial condition, results of operations, prospects and that of Innventure, could be adversely affected. Further, because AFX has limited historical financial data and operates in a highly competitive market, any predictions about its future revenue and expenses may not be as accurate as they would be if AFX had a longer operating history or operated in a more predictable market. AFX has encountered in the past, and will encounter in the future, risks and uncertainties frequently experienced by growing companies with limited operating histories in rapidly changing industries. If AFX’s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results of operations and prospects could be adversely affected.</w:t>
      </w:r>
    </w:p>
    <w:p>
      <w:pPr>
        <w:spacing w:after="0" w:line="19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AFX’s ability to establish substantial commercial sales of its products is subject to many risks, any of which could prevent or delay revenue growth and adversely impact its customer relationships, business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AFX’s products may not be approved or accepted by customers, and may not be able to be sold profitably at prices sufficient to establish demand.</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Potential customers for AFX products generally have established manufacturing processes and arrangements with suppliers of their product components and may have a resistance to changing these processes and components. These potential customers frequently impose lengthy and complex product qualification procedures on their suppliers, influenced by consumer preference, manufacturing considerations such as process changes and capital and other costs associated with transitioning to alternative components, supplier operating history, established business relationships and agreements, regulatory issues, product liability and other factors, many of which are unknown to, or not well understood by, us. Satisfying these processes may take many months. Similarly, AFX customers may have a resistance to accepting alternative compositions for those products. Additionally, AFX may be subject to product safety testing and may be required to meet certain regulatory and/or product safety standards. Meeting these standards can be a time-consuming and expensive process, and Innventure and AFX may invest substantial time and resources into such qualification efforts without ultimately securing approval.</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AFX is unable to convince these potential customers and the consumers who purchase end-products containing AFX products that use of such products is to their benefit, AFX will not be successful in entering those markets and its business will be adversely affected. Successfully marketing AFX’s products requires that the company continue to improve production, logistics, quality, sales, marketing, digital, managerial, compliance, and related capabilities or make arrangements with third parties to perform these services. If AFX is unable to establish adequate marketing, sales and distribution capabilities, whether independently or with third parties, AFX may not be able to appropriately commercialize such products. There is no assurance that AFX will be able to successfully maintain or increase sales and respond to shifting consumer and consumer packaged goods buying requirements.</w:t>
      </w:r>
    </w:p>
    <w:p>
      <w:pPr>
        <w:spacing w:after="0" w:line="21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202"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The use of AFX’s products in food grade applications is subject to regulation by the U.S. Food and Drug Administration (“FDA”). The FDA has established certain guidelines for the use of recycled plastics in food packaging, as set forth in the “</w:t>
      </w:r>
      <w:r>
        <w:rPr>
          <w:rFonts w:ascii="Times New Roman" w:cs="Times New Roman" w:eastAsia="Times New Roman" w:hAnsi="Times New Roman"/>
          <w:sz w:val="21"/>
          <w:szCs w:val="21"/>
          <w:i w:val="1"/>
          <w:iCs w:val="1"/>
          <w:color w:val="auto"/>
        </w:rPr>
        <w:t>Guidance for Industry - Use of Recycled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i w:val="1"/>
          <w:iCs w:val="1"/>
          <w:color w:val="auto"/>
        </w:rPr>
        <w:t>Plastics in Food Packaging: Chemistry Considerations (August 2006)</w:t>
      </w:r>
      <w:r>
        <w:rPr>
          <w:rFonts w:ascii="Times New Roman" w:cs="Times New Roman" w:eastAsia="Times New Roman" w:hAnsi="Times New Roman"/>
          <w:sz w:val="17"/>
          <w:szCs w:val="17"/>
          <w:color w:val="auto"/>
        </w:rPr>
        <w:t>.” In order for AFX’s products to be used in food grade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applications, AFX will be required to partner with customers or third-party co-manufacturers that possess the required food certifications to do the filling of AFX’s package.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partnerships would require significant time, effort, and financial resources to complete, and may not result in a successful production partnership. All of the above would have an adverse effect on AFX’s business, financial condition, results of operations and prospects.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 demand in those countries and AFX’s business, financial condition, results of operations and prospects will be adversely affected.</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various regulatory schemes applicable to AFX’s products will continue to apply following initial approval. Monitoring regulatory changes and ensuring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Accelsius’ Operations</w:t>
      </w:r>
    </w:p>
    <w:p>
      <w:pPr>
        <w:spacing w:after="0" w:line="25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Accelsius is an early-stage company, and its limited operating history makes it difficult to evaluate its future prospects and the risks and challenges it may encounter.</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Accelsius has been focused on developing and commercializing data center cooling products since its inception in 2022 and delivered its first customer proof-of-concept pilots in Q2 2024 and just shipped its first unit in Q3 2024. This limited operating history makes it difficult to evaluate Accelsius’ future prospects and the risks and challenges it may encounter. Risks and challenges Accelsius has faced or expects to face include, but are not limited to, its ability to:</w:t>
      </w:r>
    </w:p>
    <w:p>
      <w:pPr>
        <w:spacing w:after="0" w:line="22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commercialize its data center cooling products;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design and deliver data center cooling products of acceptable performance;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increase sales revenue of its connectivity products;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forecast its revenue and budget for and manage its expenses;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attract new customers and commercial relationships;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compete successfully in the industry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5" w:name="page66"/>
    <w:bookmarkEnd w:id="65"/>
    <w:p>
      <w:pPr>
        <w:spacing w:after="0" w:line="18" w:lineRule="exact"/>
        <w:rPr>
          <w:sz w:val="20"/>
          <w:szCs w:val="20"/>
          <w:color w:val="auto"/>
        </w:rPr>
      </w:pPr>
    </w:p>
    <w:p>
      <w:pPr>
        <w:ind w:left="660" w:right="18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plan for and manage capital expenditures for its current and future products, and manage its supply chain and supplier relationships related to its current and future products;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find, contract with, and retain reliable and commercially reasonable materials, components, and inventory vendors;</w:t>
      </w:r>
    </w:p>
    <w:p>
      <w:pPr>
        <w:spacing w:after="0" w:line="265" w:lineRule="exact"/>
        <w:rPr>
          <w:rFonts w:ascii="Arial" w:cs="Arial" w:eastAsia="Arial" w:hAnsi="Arial"/>
          <w:sz w:val="22"/>
          <w:szCs w:val="22"/>
          <w:color w:val="auto"/>
        </w:rPr>
      </w:pPr>
    </w:p>
    <w:p>
      <w:pPr>
        <w:ind w:left="660" w:right="180" w:hanging="328"/>
        <w:spacing w:after="0" w:line="24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comply with existing and new or modified laws and regulations applicable to its business in and outside the United States, including compliance requirements of U.S. customs and export regulations;</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 and respond to macroeconomic changes and changes in the markets in which it operates;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and enhance the value of its reputation and brand;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protect intellectual property;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hire, integrate and retain talented people at all levels of its organization;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defend itself in any legal proceeding that may arise and enforce its rights in any legal proceedings it may initiate; and</w:t>
      </w:r>
    </w:p>
    <w:p>
      <w:pPr>
        <w:spacing w:after="0" w:line="278"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manage and mitigate the adverse effects on its business of any public health emergencies, natural disasters, widespread travel disruptions, security risks including IT security, data privacy, cyber risks, international conflicts, geopolitical tension and other events beyond its control.</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Accelsius fails to address the risks and difficulties that it faces, including those associated with the challenges listed above, its business, financial condition, results of operations, prospects and that of Innventure, could be adversely affected. Further, because Accelsius has limited historical financial data and operates in a rapidly evolving and highly competitive market, any predictions about its future revenue and expenses may not be as accurate as they would be if Accelsius had a longer operating history or operated in a more predictable market. Accelsius has encountered in the past, and will encounter in the future, risks and uncertainties frequently experienced by growing companies with limited operating histories in rapidly changing industries. If Accelsius’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results of operations and prospects could be adversely affected.</w:t>
      </w: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including customers and potential investors, may be skeptical of the viability and benefits of Accelsius’ cooling products because they are based on a relatively novel and complex technology.</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cooling products because they are based on a relatively novel and complex technology. There can be no assurance that Accelsius’ products will be understood, approved, or accepted by customers and potential investors or that Accelsius will be able to sell its products profitably at competitive prices and with features sufficient to establish demand. If Accelsius is unable to convince these potential customers of the utility and value of its products or that its cooling solutions are superior to those they currently use, Accelsius will not be successful in entering those markets and its business and results of operations will be adversely affected. If potential investors are skeptical of the success of Accelsius’ cooling products, its ability to raise capital and the value of Innventure stock may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 cooling products may be subject to increased regulatory scrutiny due to their use of working fluid refrigerants that contain fluorine.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ind w:right="220"/>
        <w:spacing w:after="0" w:line="258" w:lineRule="auto"/>
        <w:rPr>
          <w:sz w:val="20"/>
          <w:szCs w:val="20"/>
          <w:color w:val="auto"/>
        </w:rPr>
      </w:pPr>
      <w:r>
        <w:rPr>
          <w:rFonts w:ascii="Times New Roman" w:cs="Times New Roman" w:eastAsia="Times New Roman" w:hAnsi="Times New Roman"/>
          <w:sz w:val="18"/>
          <w:szCs w:val="18"/>
          <w:color w:val="auto"/>
        </w:rPr>
        <w:t>The market and/or regulatory agencies inside and outside the U.S. may elect to curtail the use of polyfluoroalkyl substances (PFAS), including hydrofluoroolefins (HFOs) and hydrochlorofluoroolefins (HCFOs), due to their persistence in the environment, their global warming potential, or their ozone depletion potential. While Accelsius is working to ensure industry best practices use of these commonly available refrigerants as working fluids in Accelsius’ cooling products, unforeseen regulatory changes that limit availability or manufacturing capacity or increase material prices would adversely affect Accelsius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5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be unable to sufficiently protect the intellectual property rights of itself and the Innventure Companies and may encounter disputes from time to time relating to its use of the intellectual property of third parties.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and the Innventure Companies’ core business relies on intellectual property acquired or licensed from MNCs. Innventure monitors and protects against activities that might infringe, dilute, misappropriate or otherwise violate that intellectual property and relies on the relevant patent, trademark and other laws of the U.S. and other countries. However, Innventure, the Innventure Companies, and their MNC partners may be unable to prevent their employees, consultants or other third parties from infringing, diluting or misappropriating their intellectual property or from otherwise violating obligations with respect to their intellectual property and confidential information, which could have a material adverse effect on Innventure and the Innventure Companies’ business, financial condition, results of operations and prospects.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upon the registration of their intellectual property rights, there is no certainty that Innventure’s, the Innventure Companies’ or their MNC partners’ intellectual property rights will provide them with substantial protection or commercial benefit. Despite Innventure, the Innventure Companies’ and their MNC partners’ efforts to protect their intellectual property, some of their innovations may not be protectable, and their intellectual property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intellectual property rights than the laws of the U.S. and present greater risks of infringement, misappropriation, dilution or other misuse. To the extent Innventure, the Innventure Companies, and their MNC partners cannot protect their intellectual property and confidential information, unauthorized use and misuse of that intellectual property could harm their competitive position and have a material adverse effect on Innventure’s business, financial condition, results of operations and prospects.</w:t>
      </w:r>
    </w:p>
    <w:p>
      <w:pPr>
        <w:spacing w:after="0" w:line="21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Despite Innventure’s efforts to protect these rights, unauthorized third parties may attempt to duplicate or copy the proprietary aspects of its technology and processes. Innventure’s competitors and other third parties independently may design around or develop similar technology or otherwise duplicate Innventure’s services or products such that Innventure could not assert its intellectual property rights against them. In addition, Innventure’s contractual arrangements may not effectively prevent disclosure of its intellectual property and confidential and proprietary information or provide an adequate remedy in the event of an unauthorized disclosure. Measures in place may not prevent misappropriation or infringement of Innventure’s intellectual property or proprietary information and the resulting loss of competitive advantage, and Innventure may be required to litigate to protect its intellectual property and proprietary information from misappropriation or infringement by others, which is expensive, could cause a diversion of resources and may not be successful.</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Innventure also may encounter disputes from time to time concerning intellectual property rights of others, and it may not prevail in these disputes. Third parties may raise claims against Innventure alleging that Innventure, its employees, consultants or other third parties retained or indemnified by Innventure, infringe, dilute, misappropriate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spacing w:after="0" w:line="254" w:lineRule="auto"/>
        <w:rPr>
          <w:sz w:val="20"/>
          <w:szCs w:val="20"/>
          <w:color w:val="auto"/>
        </w:rPr>
      </w:pPr>
      <w:r>
        <w:rPr>
          <w:rFonts w:ascii="Times New Roman" w:cs="Times New Roman" w:eastAsia="Times New Roman" w:hAnsi="Times New Roman"/>
          <w:sz w:val="18"/>
          <w:szCs w:val="18"/>
          <w:color w:val="auto"/>
        </w:rPr>
        <w:t>or otherwise violate their intellectual property rights. Some third-party intellectual property rights may be extremely broad, and it may not be possible for Innventure to conduct its operations in such a way as to avoid all alleged violations of such intellectual property rights and thus, Innventure cannot be certain that its technologies or products and services do not infringe valid patents, trademarks, copyrights or other proprietary rights held by third parties. Given the complex, rapidly changing and competitive technological and business environment in which Innventure operates, and the potential risks and uncertainties of intellectual property-related litigation, an assertion of an infringement claim against Innventure may cause Innventure to spend significant amounts to defend the claim, even if Innventure ultimately prevails,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1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Moreover, it has become common in recent years for individuals and groups to purchase intellectual property assets for the sole purpose of making claims of infringement and attempting to extract settlements from companies such as Innventure. Even in instances where Innventure believes that claims and allegations of intellectual property infringement against it are without merit, defending against such claims is time consuming and expensive and could result in the diversion of time and attention of Innventure’s management and employees. In addition, although in some cases a third-party may have agreed to indemnify Innventure for such costs, such indemnifying party may refuse or be unable to uphold its contractual obligations. In other cases, insurance may not cover potential claims of this type adequately or at all, and Innventure may be required to pay monetary damages, which may be significant.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 unable to take actions to effectively mitigate the effect of the resulting higher costs, Innventure’s business, financial condition, results of operations and prospects could be adversely impacted.</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Federal Reserve recently raised interest rates multiple times in response to concerns about inflation and it may raise them again. 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their MNC partners face risks and uncertainties related to litigation, regulatory actions and investigations.</w:t>
      </w:r>
    </w:p>
    <w:p>
      <w:pPr>
        <w:spacing w:after="0" w:line="256"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8" w:name="page69"/>
    <w:bookmarkEnd w:id="68"/>
    <w:p>
      <w:pPr>
        <w:ind w:right="740"/>
        <w:spacing w:after="0" w:line="282" w:lineRule="auto"/>
        <w:rPr>
          <w:sz w:val="20"/>
          <w:szCs w:val="20"/>
          <w:color w:val="auto"/>
        </w:rPr>
      </w:pPr>
      <w:r>
        <w:rPr>
          <w:rFonts w:ascii="Times New Roman" w:cs="Times New Roman" w:eastAsia="Times New Roman" w:hAnsi="Times New Roman"/>
          <w:sz w:val="18"/>
          <w:szCs w:val="18"/>
          <w:color w:val="auto"/>
        </w:rPr>
        <w:t>property disputes, and other business matters. Any such claims or investigations may be time-consuming, costly, divert management resources, or otherwise have a material adverse effect on its business or results of operations.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w:t>
      </w:r>
    </w:p>
    <w:p>
      <w:pPr>
        <w:spacing w:after="0" w:line="19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a failure in Innventure’s information technology and data security infrastructure could adversely affect Innventure’s business and operations.</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intellectual property,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w:t>
      </w:r>
    </w:p>
    <w:p>
      <w:pPr>
        <w:spacing w:after="0" w:line="2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Furthermore, data privacy laws continue to evolve in various jurisdictions, including the scope of consumer and commercial privacy protections. It is possible that data privacy laws, including those that may develop regarding new technologies such as artificial intelligence,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w:t>
      </w:r>
    </w:p>
    <w:p>
      <w:pPr>
        <w:spacing w:after="0" w:line="2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Innventure’s performance relating to environmental, social and governance (“ESG”) factors may impose additional costs and expose it to new risks.</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investors, employees, customers and other stakeholders concerning corporate responsibility, specifically related to ESG matters. Some investors may use these non-financial performance factors to guide their investment strategies and, in some cases, may choose not to invest in Innventure if they believe its policies and actions relating to corporate responsibility are inadequate. The growing investor demand for measurement of non-financial performance is addressed by third-party providers of sustainability assessments and ratings with respect to public companies. The criteria by which Innventure’s corporate responsibility practices are assessed may change due to changes in the sustainability landscape, which could cause it to undertake costly initiatives to satisfy such new criteria. If Innventure elects not to or is unable to satisfy such new criteria, investors may conclude that its policies and/or actions with respect to corporate social responsibility are inadequate. Innventure may face reputational damage in the event that it does not meet the ESG standards set by various constituencies.</w:t>
      </w:r>
    </w:p>
    <w:p>
      <w:pPr>
        <w:spacing w:after="0" w:line="21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Innventure’s financial condition and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ind w:right="60"/>
        <w:spacing w:after="0" w:line="254"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 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Innventure and the Innventure Companies.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w:t>
      </w:r>
    </w:p>
    <w:p>
      <w:pPr>
        <w:spacing w:after="0" w:line="20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example, during October 2021, the Organisation for Economic Cooperation and Development (the “OECD”) announced that 136 countries and tax jurisdictions have agreed to implement a new “Two Pillar” approach to international taxation. The first detailed draft rules under that approach were published in December 2021. Most countries are expected to introduce new rules in line with the Two Pillar approach for the first time in 2024, although different countries are likely to implement these changes at different times and in different ways, through their individual agreement to tax treaty changes and through changes to their own domestic tax laws.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first pillar will first establish a new taxing right for countries in which a business has a significant economic presence, even though it may not have the degree of physical presence in that country needed to establish a taxing right under existing tax treaties. This new taxing right is subject to several conditions, exclusions and exceptions, and will initially affect only multinational enterprises with global turnover above 20 billion euros.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second pillar will establish a global minimum tax rate of 15%, such that multinational enterprises with an effective tax rate in a jurisdiction below this minimum rate will need to pay additional tax, which could be collected by the parent company’s tax authorities or by those in other countries, depending on whether and how each country implements the OECD’s approach in its tax treaties and domestic tax legislation.</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Depending on how the jurisdictions in which Innventure and the Innventure Companies operate choose to implement the OECD’s approach in their tax treaties and domestic tax laws, Innventure and the Innventure Companies could be adversely affected due to its income being taxed at higher effective rates, once these new rules come into force.</w:t>
      </w:r>
    </w:p>
    <w:p>
      <w:pPr>
        <w:spacing w:after="0" w:line="19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will incur significant increased expenses and administrative burdens as a public company, which could have an adverse effect on its business, financial condition and results of operations.</w:t>
      </w:r>
    </w:p>
    <w:p>
      <w:pPr>
        <w:spacing w:after="0" w:line="1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Innventure will face increased legal, accounting, administrative and other costs and expenses as a public company that Innventure LLC did not incur as a private company. The Sarbanes-Oxley Act, including the requirements of Section 404 thereof, as well as rules and regulations subsequently implemented by the SEC, the Dodd-Frank Wall Street Reform and Consumer Protection Act of 2010 and the rules and regulations promulgated and to be promulgated thereunder, the Public Company Accounting Oversight Board (United States) and the securities exchanges, impose additional reporting and other obligations on public companies. Compliance with public company requirements will increase costs and make certain activities more time-consuming. A number of those requirements will require Innventure to carry out activities Innventure has not done previously.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spacing w:after="0" w:line="253" w:lineRule="auto"/>
        <w:rPr>
          <w:sz w:val="20"/>
          <w:szCs w:val="20"/>
          <w:color w:val="auto"/>
        </w:rPr>
      </w:pPr>
      <w:r>
        <w:rPr>
          <w:rFonts w:ascii="Times New Roman" w:cs="Times New Roman" w:eastAsia="Times New Roman" w:hAnsi="Times New Roman"/>
          <w:sz w:val="18"/>
          <w:szCs w:val="18"/>
          <w:color w:val="auto"/>
        </w:rPr>
        <w:t>Innventure has created new board committees and adopted new internal controls and disclosure controls and procedures. In addition, additional expenses associated with SEC reporting requirements will be incurred. Furthermore, if any issues in complying with those requirements are identified (for example, if the auditors identify material weaknesses in addition to those disclosed herein or a significant deficiency in the internal control over financial reporting), Innventure could incur additional costs rectifying those issues, and the existence of those issues could adversely affect Innventure’s reputation or investor perceptions of it. It may also be more expensive to obtain director and officer liability insurance in such a situation. Risks associated with Innventure’s status as a public company may make it more difficult to attract and retain qualified persons to serve on the Board or as executive officers. The additional reporting and other obligations imposed by these rules and regulations will increase legal and financial compliance costs and the costs of related legal, accounting and administrative activities. These increased costs will require Innventure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failure to timely and effectively implement controls and procedures required by Section 404(a) of the Sarbanes-Oxley Act could negatively impact its business.</w:t>
      </w:r>
    </w:p>
    <w:p>
      <w:pPr>
        <w:spacing w:after="0" w:line="1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Innventure LLC was not subject to Section 404 of the Sarbanes-Oxley Act. However, Innventure will in the future be required to provide management’s attestation on internal controls in accordance with the Sarbanes-Oxley Act. The standards required for a public company under Section 404(a) of the Sarbanes-Oxley Act are significantly more stringent than those required of Innventure LLC as a privately held company. Management may not be able to effectively and timely implement controls and procedures that adequately respond to the increased regulatory compliance and reporting requirements that will be applicable. If Innventure is not able to implement the additional requirements of Section 404(a) in a timely manner or with adequate compliance, it may not be able to assess whether its internal controls over financial reporting are effective, which may subject it to adverse regulatory consequences and could harm investor confidence and the market price of its securities.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with Commonwealth Asset Management LP (together with its assignee, “CWAM LP”), pursuant to which Holdco sold CWAM LP an aggregate of 750,000 shares of Innventure’s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October 2, 2024. CWAM LP is an affiliate of the CWAM LC Sponsor LLC, Learn CW’s former Sponsor (the “Sponsor”).</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September 27, 2024, the Company entered into an investment agreement, substantially in the same form as the investment agreement entered into with CWAM LP with certain purchasers (together with CWAM LP, the “Series B Investors”), pursuant to which Holdco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Innventure sold, in total, 1,102,000 shares of Series B Preferred Stock providing Innventure with approximately $11.0 million of gross proceeds before deducting fees and other estimated offering expenses.</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Series B Preferred Certificate of Designations, the shares of Series B Preferred Stock have a maturity date five years after the Closing Date and accrue a return equal to 8% per annum, payable on the last day of each quarter in-kind. Shares of 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1" w:name="page72"/>
    <w:bookmarkEnd w:id="71"/>
    <w:p>
      <w:pPr>
        <w:ind w:right="20"/>
        <w:spacing w:after="0" w:line="255" w:lineRule="auto"/>
        <w:rPr>
          <w:sz w:val="20"/>
          <w:szCs w:val="20"/>
          <w:color w:val="auto"/>
        </w:rPr>
      </w:pPr>
      <w:r>
        <w:rPr>
          <w:rFonts w:ascii="Times New Roman" w:cs="Times New Roman" w:eastAsia="Times New Roman" w:hAnsi="Times New Roman"/>
          <w:sz w:val="18"/>
          <w:szCs w:val="18"/>
          <w:color w:val="auto"/>
        </w:rPr>
        <w:t>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which is $10.00 per share of Series B Preferred Stock, and whose denominator is the lesser of (i) the Reset Conversion Price or (ii) $12.50. The “Reset Conversion Price” means the greater of (a) $5.00 and (b) the 10-trading day volume-weighted average closing price of the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25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On October 22, 2024, in connection with the entry by Innventure LLC into a Loan and Security Agreement with the WTI Lenders, as supplemented by the Supplement to the Loan and Security Agreement, the Company issued the WTI Warrants to purchase up to an aggregate total of 1,000,000 shares of</w:t>
      </w:r>
    </w:p>
    <w:p>
      <w:pPr>
        <w:spacing w:after="0" w:line="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Common Stock to WTI Fund X, LLC and WTI Fund XI, LLC (each an affiliate of the WTI Lenders).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Roth Capital Partners LLC</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31, 2024, pursuant to that letter agreement between Innventure LLC and Roth Capital Partners LLC (“Roth”), dated July 8, 2024, the Company issued to Roth 25,000 shares of Common Stock in settlement of $250,000 of transaction costs incurred by Innventure or its affiliates for certain capital markets advisory services (accordingly, at an effective price of $10.00 per share).</w:t>
      </w: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2024 ,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2" w:name="page73"/>
    <w:bookmarkEnd w:id="72"/>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4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1"/>
        </w:trPr>
        <w:tc>
          <w:tcPr>
            <w:tcW w:w="12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
            <w:shd w:val="clear" w:color="auto" w:fill="CCEEFF"/>
          </w:tcPr>
          <w:p>
            <w:pPr>
              <w:spacing w:after="0" w:line="191"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Business Combination Agreement, dated as of October 24, 2023, by and among Learn SPAC Holdco, Inc., Learn CW Investment</w:t>
              </w:r>
            </w:hyperlink>
          </w:p>
        </w:tc>
      </w:tr>
      <w:tr>
        <w:trPr>
          <w:trHeight w:val="203"/>
        </w:trPr>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Corporation, LCW Merger Sub, Inc., Innventure LLC and Innventure Merger Sub, LLC (incorporated by reference to Annex A to</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Innventure, Inc.’s Registration Statement on 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Certificate of Incorporation of Innventure, Inc., filed with the Secretary of State of Delaware on October 2, 2024</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(incorporated by reference to Exhibit 3.1 to Innventure Inc.’s Current Report on Form 8-K filed with the SEC on October 9,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By-laws of Innventure, Inc. (incorporated by reference to Exhibit 3.2 to Innventure Inc.’s Current Report on Form 8-K filed with the</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52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SEC on October 9, 2024).</w:t>
              </w:r>
            </w:hyperlink>
          </w:p>
        </w:tc>
        <w:tc>
          <w:tcPr>
            <w:tcW w:w="38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76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Certificate of Designation of Series B Preferred Stock, dated October 2, 2024, of Innventure, Inc. (incorporated by reference to Exhibit</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3.3 to Innventure Inc.’s Current Report on Form 8-K filed with the SEC on October 9,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Innventure LLC Series 1 Promissory Note (incorporated by reference to Exhibit 4.3 to Innventure, Inc.’s Registration Statement</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on 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Accelsius Holdings LLC Convertible Promissory Note (incorporated by reference to Exhibit 4.4 to Innventure, Inc.’s</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Registration Statement on Form S-4 filed with the SEC on September 6,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Secured Convertible Note and Warrant Purchase Agreement, dated as of June 3, 2021, by and among Innventus ESG Fund I, L.P.,</w:t>
              </w:r>
            </w:hyperlink>
          </w:p>
        </w:tc>
      </w:tr>
      <w:tr>
        <w:trPr>
          <w:trHeight w:val="202"/>
        </w:trPr>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AeroFlexx, LLC, and the Investors party thereto (incorporated by reference to Exhibit 4.5 to Innventure, Inc.’s Registration Statement on</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Amended and Restated Secured Convertible Promissory Note and Warrant Purchase Agreement, dated as of July 31, 2021, by and</w:t>
              </w:r>
            </w:hyperlink>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202"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among Innventus ESG Fund I, L.P., AeroFlexx, LLC, and the Investors party thereto (incorporated by reference to Exhibit 4.6 to</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Innventure, Inc.’s Registration Statement on Form S-4 filed with the SEC on September 6,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Unsecured Promissory Note, dated as of May 2, 2024, between Innventure LLC and Michael Otworth (incorporated by reference to</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Exhibit 4.7 to Innventure, Inc.’s Registration Statement on Form S-4 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Innventure Class B Warrant Cashless Exercise Description and Acknowledgment Letter (incorporated by reference to Exhibit</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4.8 to Innventure, Inc.’s Registration Statement on Form S-4 filed with the SEC on September 6,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Warrant to Acquire Securities of Innventure, Inc., dated October 22, 2024, issued to WTI Fund X, LLC (incorporated by reference to</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Exhibit 4.1 to Innventure, Inc.’s Current Report on Form 8-K dated October 23,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Warrant to Acquire Securities of Innventure, Inc., dated October 22, 2024, issued to WTI Fund XI, LLC (incorporated by reference to</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Exhibit 4.2 to Innventure, Inc.’s Current Report on Form 8-K dated October 23, 2024).</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Investment Management Trust Agreement, dated October 12, 2021, between the Company and U.S. Bank National Association, as</w:t>
              </w:r>
            </w:hyperlink>
          </w:p>
        </w:tc>
      </w:tr>
      <w:tr>
        <w:trPr>
          <w:trHeight w:val="203"/>
        </w:trPr>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trustee (incorporated by reference to Exhibit 10.3 to Learn CW Investment Corporation’s Current Report on Form 8-K filed with the</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SEC on October 14, 2021).</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Registration and Shareholder Rights Agreement, dated October 12, 2021, by and among Learn CW Investment Corporation, the Sponsor</w:t>
              </w:r>
            </w:hyperlink>
          </w:p>
        </w:tc>
      </w:tr>
      <w:tr>
        <w:trPr>
          <w:trHeight w:val="202"/>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202"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and certain other security holders named therein (incorporated by reference to Exhibit 10.4 to Learn CW Investment Corporation’s</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Current Report on Form 8-K filed with the SEC on October 14, 2021).</w:t>
              </w:r>
            </w:hyperlink>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8"/>
        </w:trPr>
        <w:tc>
          <w:tcPr>
            <w:tcW w:w="1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spacing w:after="0" w:line="198"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Investor Rights Agreement (incorporated by reference to Annex H to Innventure, Inc.’s Registration Statement on Form S-4</w:t>
              </w:r>
            </w:hyperlink>
          </w:p>
        </w:tc>
      </w:tr>
      <w:tr>
        <w:trPr>
          <w:trHeight w:val="241"/>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filed with the SEC on September 6, 2024).</w:t>
              </w:r>
            </w:hyperlink>
          </w:p>
        </w:tc>
      </w:tr>
      <w:tr>
        <w:trPr>
          <w:trHeight w:val="198"/>
        </w:trPr>
        <w:tc>
          <w:tcPr>
            <w:tcW w:w="12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198"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Sponsor Support Agreement, dated October 24, 2023, by and between Learn CW Investment Corporation, Innventure LLC and CWAM</w:t>
              </w:r>
            </w:hyperlink>
          </w:p>
        </w:tc>
      </w:tr>
      <w:tr>
        <w:trPr>
          <w:trHeight w:val="202"/>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spacing w:after="0" w:line="202"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LC Sponsor LLC (incorporated by reference to Annex C to Innventure, Inc.’s Registration Statement on Form S-4 filed with the SEC on</w:t>
              </w:r>
            </w:hyperlink>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3"/>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September 6, 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260" w:type="dxa"/>
            <w:vAlign w:val="bottom"/>
            <w:shd w:val="clear" w:color="auto" w:fill="CCEEFF"/>
          </w:tcPr>
          <w:p>
            <w:pPr>
              <w:ind w:left="360"/>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Member Support Agreement, dated October 24, 2023, by and among Learn CW Investment Corporation, Learn SPAC Holdco, Inc.,</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Innventure LLC and the Innventure Members party thereto (incorporated by reference to Annex D to Innventure, Inc.’s Registration</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Statement on Form S-4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10.6</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Loan and Security Agreement, dated March 30, 2023, between Innventure LLC and Accelsius Holdings LLC (incorporated by reference</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to Exhibit 10.6 to 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Loan and Security Agreement, dated February 9, 2023, between AeroFlexx, LLC and Auto Now Acceptance Co, LLC (incorporated by</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reference to Exhibit 10.7 to Innventure, Inc.’s Registration Statement on Form S-4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10.8</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Offer Letter, dated September 7, 2023, between David Yablunosky and Innventure LLC (incorporated by reference to Exhibit 10.8 to</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10.9</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Class B Preferred Unit Purchase Agreement, dated as of January 14, 2022, by and among Innventure LLC and the Investors party thereto</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by reference to Exhibit 10.9 to Innventure, Inc.’s Registration Statement on Form S-4 filed with the SEC on September 6,</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10.10</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Class B Preferred Unit Purchase Agreement, dated as of June 1, 2022, by and among Innventure LLC and the</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Investors party thereto (incorporated by reference to Exhibit 10.10 to Innventure, Inc.’s Registration Statement on Form S-4 filed with</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Class B-1 Preferred Unit Purchase Agreement, dated as of August 25, 2023, by and among Innventure LLC and the Investors party</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thereto (incorporated by reference to Exhibit 10.11 to Innventure, Inc.’s Registration Statement on Form S-4 filed with the SEC on</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10.12</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Class D Preferred Unit Purchase Agreement, by and between Innventus ESG, AeroFlexx, and the Investors party thereto, dated as of</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November 10, 2021 (incorporated by reference to Exhibit 10.12 to Innventure, Inc.’s Registration Statement on Form S-4 filed with the</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10.13</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Series I Convertible Note Purchase Agreement, dated as of August 18, 2022, by and among Accelsius, Innventus ESG Fund I L.P. and</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the other parties thereto (incorporated by reference to Exhibit 10.13 to Innventure, Inc.’s Registration Statement on Form S-4 filed with</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10.14</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Series I Convertible Note Purchase Agreement, dated as of June 2, 2023, by and among Accelsius, Innventus</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ESG Fund I L.P. and the other parties thereto (incorporated by reference to Exhibit 10.14 to Innventure, Inc.’s Registration Statement on</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10.15</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Class A Series 2 Unit Purchase Agreement, dated as of July 19, 2022, by and among Innventus ESG Fund I, L.P., Accelsius Holdings</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LLC, and the Investors party thereto (incorporated by reference to Exhibit 10.15 to Innventure, Inc.’s Registration Statement on Form S-</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10.16</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Guaranty Agreement, dated as of April 22, 2020, by and between TOTAL S.A. and Innventure LLC (incorporated by reference to</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Exhibit 10.16 to 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10.17</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Envelope Recycling Program Services Agreement, dated July 1, 2020, between AeroFlexx, LLC and TerraCycle (incorporated by</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reference to Exhibit 10.17 to Innventure, Inc.’s Registration Statement on Form S-4 filed with the SEC on September 6, 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10.18**</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Contractor Agreement, dated as of June 3, 2019, by and between 4350 LAAD, Inc. and Innventure LLC (incorporated by reference to</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Exhibit 10.18 to Innventure, Inc.’s Registration Statement on Form S-4 filed with the SEC on September 6, 2024).</w:t>
              </w:r>
            </w:hyperlink>
          </w:p>
        </w:tc>
      </w:tr>
      <w:tr>
        <w:trPr>
          <w:trHeight w:val="27"/>
        </w:trPr>
        <w:tc>
          <w:tcPr>
            <w:tcW w:w="98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198"/>
        </w:trPr>
        <w:tc>
          <w:tcPr>
            <w:tcW w:w="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10.19</w:t>
            </w:r>
          </w:p>
        </w:tc>
        <w:tc>
          <w:tcPr>
            <w:tcW w:w="10260" w:type="dxa"/>
            <w:vAlign w:val="bottom"/>
            <w:shd w:val="clear" w:color="auto" w:fill="CCEEFF"/>
          </w:tcPr>
          <w:p>
            <w:pPr>
              <w:ind w:left="360"/>
              <w:spacing w:after="0" w:line="19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Master Intercompany Services Agreement, dated as of April 9, 2023, by and between Innventure LLC and AeroFlexx, LLC</w:t>
              </w:r>
            </w:hyperlink>
          </w:p>
        </w:tc>
      </w:tr>
      <w:tr>
        <w:trPr>
          <w:trHeight w:val="203"/>
        </w:trPr>
        <w:tc>
          <w:tcPr>
            <w:tcW w:w="980" w:type="dxa"/>
            <w:vAlign w:val="bottom"/>
            <w:shd w:val="clear" w:color="auto" w:fill="CCEEFF"/>
          </w:tcPr>
          <w:p>
            <w:pPr>
              <w:spacing w:after="0"/>
              <w:rPr>
                <w:sz w:val="17"/>
                <w:szCs w:val="17"/>
                <w:color w:val="auto"/>
              </w:rPr>
            </w:pPr>
          </w:p>
        </w:tc>
        <w:tc>
          <w:tcPr>
            <w:tcW w:w="10260" w:type="dxa"/>
            <w:vAlign w:val="bottom"/>
            <w:shd w:val="clear" w:color="auto" w:fill="CCEEFF"/>
          </w:tcPr>
          <w:p>
            <w:pPr>
              <w:ind w:left="360"/>
              <w:spacing w:after="0" w:line="202"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by reference to Exhibit 10.19 to Innventure, Inc.’s Registration Statement on Form S-4 filed with the SEC on September 6,</w:t>
              </w:r>
            </w:hyperlink>
          </w:p>
        </w:tc>
      </w:tr>
      <w:tr>
        <w:trPr>
          <w:trHeight w:val="241"/>
        </w:trPr>
        <w:tc>
          <w:tcPr>
            <w:tcW w:w="98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2024).</w:t>
              </w:r>
            </w:hyperlink>
          </w:p>
        </w:tc>
      </w:tr>
      <w:tr>
        <w:trPr>
          <w:trHeight w:val="198"/>
        </w:trPr>
        <w:tc>
          <w:tcPr>
            <w:tcW w:w="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10.20</w:t>
            </w:r>
          </w:p>
        </w:tc>
        <w:tc>
          <w:tcPr>
            <w:tcW w:w="10260" w:type="dxa"/>
            <w:vAlign w:val="bottom"/>
          </w:tcPr>
          <w:p>
            <w:pPr>
              <w:ind w:left="360"/>
              <w:spacing w:after="0" w:line="19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Master Intercompany Services Agreement, dated as of April 24, 2023, between Innventure LLC and Accelsius Holdings LLC</w:t>
              </w:r>
            </w:hyperlink>
          </w:p>
        </w:tc>
      </w:tr>
      <w:tr>
        <w:trPr>
          <w:trHeight w:val="203"/>
        </w:trPr>
        <w:tc>
          <w:tcPr>
            <w:tcW w:w="980" w:type="dxa"/>
            <w:vAlign w:val="bottom"/>
          </w:tcPr>
          <w:p>
            <w:pPr>
              <w:spacing w:after="0"/>
              <w:rPr>
                <w:sz w:val="17"/>
                <w:szCs w:val="17"/>
                <w:color w:val="auto"/>
              </w:rPr>
            </w:pPr>
          </w:p>
        </w:tc>
        <w:tc>
          <w:tcPr>
            <w:tcW w:w="10260" w:type="dxa"/>
            <w:vAlign w:val="bottom"/>
          </w:tcPr>
          <w:p>
            <w:pPr>
              <w:ind w:left="360"/>
              <w:spacing w:after="0" w:line="202"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by reference to Exhibit 10.20 to Innventure, Inc.’s Registration Statement on Form S-4 filed with the SEC on September 6,</w:t>
              </w:r>
            </w:hyperlink>
          </w:p>
        </w:tc>
      </w:tr>
      <w:tr>
        <w:trPr>
          <w:trHeight w:val="234"/>
        </w:trPr>
        <w:tc>
          <w:tcPr>
            <w:tcW w:w="980" w:type="dxa"/>
            <w:vAlign w:val="bottom"/>
          </w:tcPr>
          <w:p>
            <w:pPr>
              <w:spacing w:after="0"/>
              <w:rPr>
                <w:sz w:val="20"/>
                <w:szCs w:val="20"/>
                <w:color w:val="auto"/>
              </w:rPr>
            </w:pPr>
          </w:p>
        </w:tc>
        <w:tc>
          <w:tcPr>
            <w:tcW w:w="10260" w:type="dxa"/>
            <w:vAlign w:val="bottom"/>
          </w:tcPr>
          <w:p>
            <w:pPr>
              <w:ind w:left="360"/>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180" w:type="dxa"/>
            <w:vAlign w:val="bottom"/>
            <w:shd w:val="clear" w:color="auto" w:fill="CCEEFF"/>
          </w:tcPr>
          <w:p>
            <w:pPr>
              <w:ind w:left="280"/>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Letter Agreement, dated October 7, 2021, among Learn CW Investment Corporation and its officers, directors, director nominees and the</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Sponsor (incorporated by reference to Exhibit 10.1 to Learn CW Investment Corporation's Current Report on Form 8-K filed with the</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SEC on October 14, 2021).</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10.22</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Promissory Note, dated as of September 7, 2021, issued by Learn CW Investment Corporation in favor of</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Sponsor (incorporated by reference to Exhibit 10.2 to Learn Investment CW Corporation's Amendment No. 2 to the Registration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Statement on Form S-1 filed with the SEC on September 17, 2021).</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10.23</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Employment Agreement, dated as of July 29, 2022, by and between Innventure LLC and Michael Otworth (incorporated by reference to</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Exhibit 10.23 to Innventure, Inc.’s Registration Statement on Form S-4 filed with the SEC on September 6,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10.24</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Employment Agreement, dated as of March 5, 2024, by and between Innventure LLC and Suzanne Niemeyer (incorporated by reference</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to Exhibit 10.24 to Innventure, Inc.’s Registration Statement on Form S-4 filed with the SEC on 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10.25</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Management Services Agreement, dated January 22, 2021, by and between Innventure LLC and L1FE Management Limited</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 by reference to Exhibit 10.25 to Innventure, Inc.’s Registration Statement on Form S-4 filed with the SEC on September 6,</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10.26</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to Management Services Agreement, dated October 1, 2021, by and between Innventure LLC and L1FE Management</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Limited (incorporated by reference to Exhibit 10.26 to Innventure, Inc.’s Registration Statement on Form S-4 filed with the SEC 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10.27</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Summary of the Statement of Work, effective as of April 1, 2018, between Innventure LLC and Corporate Development Group LLC</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by reference to Exhibit 10.27 to Innventure, Inc.’s Registration Statement on Form S-4 filed with the SEC on September 6,</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10.28</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Debt Conversion Agreement, dated October 31, 2023, by and between Innventure LLC and Innventure1 LLC (incorporated by reference</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to Exhibit 10.28 to Innventure, Inc.’s Registration Statement on Form S-4 filed with the SEC on 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10.29</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Amended &amp; Restated Promissory Note, dated December 29, 2023, issued by Learn CW Investment Corporation in favor of Sponsor</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(incorporated by reference to Exhibit 10.1 to Learn CW Investment Corporation's Current Report on Form 8-K filed with the SEC on</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January 3,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10.30</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Second Amended &amp; Restated Promissory Note, dated March 19, 2024, issued by Learn CW Investment Corporation in favor of Sponsor</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(incorporated by reference to Exhibit 10.1 to Learn CW Investment Corporation’s Current Report on Form 8-K filed with the SEC 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March 25,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10.31</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First Amendment to Loan and Security Agreement, dated December 13, 2023, between Innventure LLC and Accelsius Holdings LLC</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by reference to Exhibit 10.31 to Innventure, Inc.’s Registration Statement on Form S-4 filed with the SEC on September 6,</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10.32**^</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Patent Purchase Agreement, dated May 27, 2022, between Nokia Technologies, OY, Nokia Solutions and Networks, OY, and Accelsius</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Holdings LLC (incorporated by reference to Exhibit 10.32 to Innventure, Inc.’s Registration Statement on Form S-4 filed with the SEC</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on September 6, 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10.33**^†</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Technology License and Know-How Agreement, dated May 27, 2022, between Accelsius Holdings LLC, Nokia Technologies Oy, Nokia</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Solutions and Networks Oy, and Nokia of America Corporation (incorporated by reference to Exhibit 10.33 to Innventure, Inc.’s</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Registration Statement on Form S-4 filed with the SEC on September 6,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10.34</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Patent and Know How License Agreement, dated February 15, 2018, between Air Assist LLC and The Procter &amp; Gamble Company</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(incorporated by reference to Exhibit 10.34 to Innventure, Inc.’s Registration Statement on Form S-4 filed with the SEC on September 6,</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2024).</w:t>
              </w:r>
            </w:hyperlink>
          </w:p>
        </w:tc>
      </w:tr>
      <w:tr>
        <w:trPr>
          <w:trHeight w:val="27"/>
        </w:trPr>
        <w:tc>
          <w:tcPr>
            <w:tcW w:w="106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10.35</w:t>
            </w:r>
          </w:p>
        </w:tc>
        <w:tc>
          <w:tcPr>
            <w:tcW w:w="10180" w:type="dxa"/>
            <w:vAlign w:val="bottom"/>
            <w:shd w:val="clear" w:color="auto" w:fill="CCEEFF"/>
          </w:tcPr>
          <w:p>
            <w:pPr>
              <w:ind w:left="280"/>
              <w:spacing w:after="0" w:line="198"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Patent and Know-How License Agreement, dated as of October 25, 2021, by and between the Procter &amp; Gamble</w:t>
              </w:r>
            </w:hyperlink>
          </w:p>
        </w:tc>
      </w:tr>
      <w:tr>
        <w:trPr>
          <w:trHeight w:val="203"/>
        </w:trPr>
        <w:tc>
          <w:tcPr>
            <w:tcW w:w="10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line="202"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Company and AeroFlexx, LLC (incorporated by reference to Exhibit 10.35 to Innventure, Inc.’s Registration Statement on Form S-4</w:t>
              </w:r>
            </w:hyperlink>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10180" w:type="dxa"/>
            <w:vAlign w:val="bottom"/>
            <w:tcBorders>
              <w:bottom w:val="single" w:sz="8" w:color="CCEEFF"/>
            </w:tcBorders>
            <w:shd w:val="clear" w:color="auto" w:fill="CCEEFF"/>
          </w:tcPr>
          <w:p>
            <w:pPr>
              <w:ind w:left="280"/>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filed with the SEC on September 6, 2024).</w:t>
              </w:r>
            </w:hyperlink>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10.36</w:t>
            </w:r>
          </w:p>
        </w:tc>
        <w:tc>
          <w:tcPr>
            <w:tcW w:w="10180" w:type="dxa"/>
            <w:vAlign w:val="bottom"/>
          </w:tcPr>
          <w:p>
            <w:pPr>
              <w:ind w:left="280"/>
              <w:spacing w:after="0" w:line="198"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Amendment No. 1 to the Investment Management Trust Agreement, dated April 25, 2024, by and between Learn CW and U.S. Bank,</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280"/>
              <w:spacing w:after="0" w:line="20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National Association, as trustee (incorporated by reference to Exhibit 10.1 to Learn CW Investment Corporation's Current Report on</w:t>
              </w:r>
            </w:hyperlink>
          </w:p>
        </w:tc>
      </w:tr>
      <w:tr>
        <w:trPr>
          <w:trHeight w:val="234"/>
        </w:trPr>
        <w:tc>
          <w:tcPr>
            <w:tcW w:w="1060" w:type="dxa"/>
            <w:vAlign w:val="bottom"/>
          </w:tcPr>
          <w:p>
            <w:pPr>
              <w:spacing w:after="0"/>
              <w:rPr>
                <w:sz w:val="20"/>
                <w:szCs w:val="20"/>
                <w:color w:val="auto"/>
              </w:rPr>
            </w:pPr>
          </w:p>
        </w:tc>
        <w:tc>
          <w:tcPr>
            <w:tcW w:w="10180" w:type="dxa"/>
            <w:vAlign w:val="bottom"/>
          </w:tcPr>
          <w:p>
            <w:pPr>
              <w:ind w:left="280"/>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8-K filed with the SEC on May 1, 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0320" w:type="dxa"/>
            <w:vAlign w:val="bottom"/>
            <w:shd w:val="clear" w:color="auto" w:fill="CCEEFF"/>
          </w:tcPr>
          <w:p>
            <w:pPr>
              <w:ind w:left="420"/>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Aircraft Time-Sharing Agreement, dated May 6, 2024, by and between Innventure LLC and Sugar Grove Ventures LLC (incorporated by</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reference to Exhibit 10.37 to Innventure, Inc.’s Registration Statement on Form S-4 filed with the SEC on September 6,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10.38</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Aircraft Time-Sharing Agreement, dated May 6, 2024, by and between Innventure LLC and Corporate Development Group LLC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(incorporated by reference to Exhibit 10.38 to Innventure, Inc.’s Registration Statement on Form S-4 filed with the SEC on September 6,</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10.39</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to the Statement of Work, effective October 1, 2021, between Innventure LLC and Corporate Development Group LLC</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(incorporated by reference to Exhibit 10.39 to Innventure, Inc.’s Registration Statement on Form S-4 filed with the SEC on September 6,</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10.40^</w:t>
            </w:r>
          </w:p>
        </w:tc>
        <w:tc>
          <w:tcPr>
            <w:tcW w:w="1032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Loan Agreement, dated as of July 1, 2024, among Innventure LLC, AeroFlexx, LLC, and AeroFlexx Packaging Company, LLC</w:t>
            </w:r>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sz w:val="20"/>
                <w:szCs w:val="20"/>
                <w:color w:val="auto"/>
              </w:rPr>
            </w:pPr>
            <w:r>
              <w:rPr>
                <w:rFonts w:ascii="Times New Roman" w:cs="Times New Roman" w:eastAsia="Times New Roman" w:hAnsi="Times New Roman"/>
                <w:sz w:val="18"/>
                <w:szCs w:val="18"/>
                <w:color w:val="auto"/>
              </w:rPr>
              <w:t>(incorporated by reference to Exhibit 10.40 to Innventure, Inc.’s Registration Statement on Form S-4 filed with the SEC on September 6,</w:t>
            </w:r>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10.41</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Amendment to Loan and Security Agreement, dated April 10, 2024, between Innventure LLC and Accelsius Holdings LLC</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by reference to Exhibit 10.41 to Innventure, Inc.’s Registration Statement on Form S-4 filed with the SEC on September 6,</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10.42</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Third Amendment to Loan and Security Agreement, dated July 1, 2024, between Innventure LLC and Accelsius Holdings LLC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by reference to Exhibit 10.42 to Innventure, Inc.’s Registration Statement on Form S-4 filed with the SEC on September 6,</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10.43^</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Unsecured Promissory Note, dated August 20, 2024, by and between Innventure LLC and Glockner Family Venture Fund, LP</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(incorporated by reference to Exhibit 10.43 to Innventure, Inc.’s Registration Statement on Form S-4 filed with the SEC on September 6,</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10.44^</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Unsecured Promissory Note, dated August 22, 2024, by and between Innventure LLC and Dr. John Scott (incorporated by reference to</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Exhibit 10.44 to Innventure, Inc.’s Registration Statement on Form S-4 filed with the SEC on September 6,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10.45</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Third Amended &amp; Restated Promissory Note, dated June 28, 2024, issued by Learn CW Investment Corporation in favor of Sponsor</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(incorporated by reference to Exhibit 10.1 on Form 10-Q filed with the SEC on August 20,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10.46^</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Investment Agreement by and among Innventure, Inc. and the investors party thereto (incorporated by reference to Exhibit</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10.46 to Innventure, Inc.’s Registration Statement on Form S-4 filed with the SEC on September 6,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10.47</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Warrant Agreement, dated October 12, 2021, between Learn CW Investment Corporation and American Stock Transfer &amp; Trust</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Company, LLC, as warrant agent (incorporated by reference to Exhibit 4.1 to Learn CW Investment Corporation’s Current Report on</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8-K filed with the SEC on October 14, 2021).</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10.48</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Warrant Assumption Agreement, dated October 2, 2024, by and among Learn CW Investment Corporation, Innventure, Inc. (f/k/a Learn</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SPAC HoldCo, Inc.) and Equiniti Trust Company, LLC (f/k/a American Stock Transfer &amp; Stock Company, LLC), as warrant agent</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(incorporated by reference to Exhibit 10.2 to Innventure Inc.’s Current Report on Form 8-K filed with the SEC on October 9,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10.49</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and Restated Registration Rights Agreement, dated October 2, 2024, by and among Innventure, Inc., Learn CW Investment</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Corporation, CWAM LC Sponsor LLC and the undersigned parties listed thereto (incorporated by reference to Exhibit 10.3 to</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Innventure Inc.’s Current Report on Form 8-K filed with the SEC on October 9,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10.50</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Amended &amp; Restated Investor Rights Agreement, dated October 2, 2024, by and among Innventure, Inc., and the undersigned parties</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listed thereto (incorporated by reference to Exhibit 10.4 to Innventure Inc.’s Current Report on Form 8-K filed with the SEC on October</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9, 2024).</w:t>
              </w:r>
            </w:hyperlink>
          </w:p>
        </w:tc>
      </w:tr>
      <w:tr>
        <w:trPr>
          <w:trHeight w:val="27"/>
        </w:trPr>
        <w:tc>
          <w:tcPr>
            <w:tcW w:w="92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10.51</w:t>
            </w:r>
          </w:p>
        </w:tc>
        <w:tc>
          <w:tcPr>
            <w:tcW w:w="10320" w:type="dxa"/>
            <w:vAlign w:val="bottom"/>
            <w:shd w:val="clear" w:color="auto" w:fill="CCEEFF"/>
          </w:tcPr>
          <w:p>
            <w:pPr>
              <w:ind w:left="420"/>
              <w:spacing w:after="0" w:line="198"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Sponsor Support Agreement, dated October 24, 2023, by and between Learn CW Investment Corporation, Innventure LLC and CWAM</w:t>
              </w:r>
            </w:hyperlink>
          </w:p>
        </w:tc>
      </w:tr>
      <w:tr>
        <w:trPr>
          <w:trHeight w:val="203"/>
        </w:trPr>
        <w:tc>
          <w:tcPr>
            <w:tcW w:w="920" w:type="dxa"/>
            <w:vAlign w:val="bottom"/>
            <w:shd w:val="clear" w:color="auto" w:fill="CCEEFF"/>
          </w:tcPr>
          <w:p>
            <w:pPr>
              <w:spacing w:after="0"/>
              <w:rPr>
                <w:sz w:val="17"/>
                <w:szCs w:val="17"/>
                <w:color w:val="auto"/>
              </w:rPr>
            </w:pPr>
          </w:p>
        </w:tc>
        <w:tc>
          <w:tcPr>
            <w:tcW w:w="10320" w:type="dxa"/>
            <w:vAlign w:val="bottom"/>
            <w:shd w:val="clear" w:color="auto" w:fill="CCEEFF"/>
          </w:tcPr>
          <w:p>
            <w:pPr>
              <w:ind w:left="420"/>
              <w:spacing w:after="0" w:line="202"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LC Sponsor LLC (incorporated by reference to Annex C to Innventure, Inc.’s Registration Statement on Form S-4 filed with the SEC on</w:t>
              </w:r>
            </w:hyperlink>
          </w:p>
        </w:tc>
      </w:tr>
      <w:tr>
        <w:trPr>
          <w:trHeight w:val="241"/>
        </w:trPr>
        <w:tc>
          <w:tcPr>
            <w:tcW w:w="920" w:type="dxa"/>
            <w:vAlign w:val="bottom"/>
            <w:tcBorders>
              <w:bottom w:val="single" w:sz="8" w:color="CCEEFF"/>
            </w:tcBorders>
            <w:shd w:val="clear" w:color="auto" w:fill="CCEEFF"/>
          </w:tcPr>
          <w:p>
            <w:pPr>
              <w:spacing w:after="0"/>
              <w:rPr>
                <w:sz w:val="20"/>
                <w:szCs w:val="20"/>
                <w:color w:val="auto"/>
              </w:rPr>
            </w:pPr>
          </w:p>
        </w:tc>
        <w:tc>
          <w:tcPr>
            <w:tcW w:w="10320" w:type="dxa"/>
            <w:vAlign w:val="bottom"/>
            <w:tcBorders>
              <w:bottom w:val="single" w:sz="8" w:color="CCEEFF"/>
            </w:tcBorders>
            <w:shd w:val="clear" w:color="auto" w:fill="CCEEFF"/>
          </w:tcPr>
          <w:p>
            <w:pPr>
              <w:ind w:left="420"/>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September 6, 2024).</w:t>
              </w:r>
            </w:hyperlink>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10.52</w:t>
            </w:r>
          </w:p>
        </w:tc>
        <w:tc>
          <w:tcPr>
            <w:tcW w:w="10320" w:type="dxa"/>
            <w:vAlign w:val="bottom"/>
          </w:tcPr>
          <w:p>
            <w:pPr>
              <w:ind w:left="420"/>
              <w:spacing w:after="0" w:line="198"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Member Support Agreement, dated October 24, 2023, by and among Learn CW Investment Corporation, Learn SPAC Holdco, Inc.,</w:t>
              </w:r>
            </w:hyperlink>
          </w:p>
        </w:tc>
      </w:tr>
      <w:tr>
        <w:trPr>
          <w:trHeight w:val="203"/>
        </w:trPr>
        <w:tc>
          <w:tcPr>
            <w:tcW w:w="920" w:type="dxa"/>
            <w:vAlign w:val="bottom"/>
          </w:tcPr>
          <w:p>
            <w:pPr>
              <w:spacing w:after="0"/>
              <w:rPr>
                <w:sz w:val="17"/>
                <w:szCs w:val="17"/>
                <w:color w:val="auto"/>
              </w:rPr>
            </w:pPr>
          </w:p>
        </w:tc>
        <w:tc>
          <w:tcPr>
            <w:tcW w:w="10320" w:type="dxa"/>
            <w:vAlign w:val="bottom"/>
          </w:tcPr>
          <w:p>
            <w:pPr>
              <w:ind w:left="420"/>
              <w:spacing w:after="0" w:line="202"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Innventure LLC and the Innventure Members party thereto (incorporated by reference to Annex D to Innventure, Inc.’s Registration</w:t>
              </w:r>
            </w:hyperlink>
          </w:p>
        </w:tc>
      </w:tr>
      <w:tr>
        <w:trPr>
          <w:trHeight w:val="234"/>
        </w:trPr>
        <w:tc>
          <w:tcPr>
            <w:tcW w:w="920" w:type="dxa"/>
            <w:vAlign w:val="bottom"/>
          </w:tcPr>
          <w:p>
            <w:pPr>
              <w:spacing w:after="0"/>
              <w:rPr>
                <w:sz w:val="20"/>
                <w:szCs w:val="20"/>
                <w:color w:val="auto"/>
              </w:rPr>
            </w:pPr>
          </w:p>
        </w:tc>
        <w:tc>
          <w:tcPr>
            <w:tcW w:w="10320" w:type="dxa"/>
            <w:vAlign w:val="bottom"/>
          </w:tcPr>
          <w:p>
            <w:pPr>
              <w:ind w:left="420"/>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Statement on Form S-4 filed with the SEC on September 6, 2024).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9900" w:type="dxa"/>
            <w:vAlign w:val="bottom"/>
            <w:gridSpan w:val="9"/>
            <w:shd w:val="clear" w:color="auto" w:fill="CCEEFF"/>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Indemnification Agreement (incorporated by reference to Exhibit 10.7 to Innventure Inc.’s Current Report on Form 8-K filed</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with the SEC on October 9,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10.54#</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Innventure, Inc. 2024 Equity and Incentive Compensation Plan (incorporated by reference to Annex K to Innventure, Inc.’s Registration</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Statement on Form S-4 filed with the SEC on September 6, 2024).</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1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10.55^</w:t>
            </w:r>
          </w:p>
        </w:tc>
        <w:tc>
          <w:tcPr>
            <w:tcW w:w="9900" w:type="dxa"/>
            <w:vAlign w:val="bottom"/>
            <w:gridSpan w:val="9"/>
            <w:shd w:val="clear" w:color="auto" w:fill="CCEEFF"/>
          </w:tcPr>
          <w:p>
            <w:pPr>
              <w:spacing w:after="0" w:line="198"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of Investment Agreement by and among Innventure, Inc. and the purchasers listed on Schedule I thereto (incorporated by reference</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to Exhibit 10.9 to Innventure Inc.’s Current Report on Form 8-K filed with the SEC on October 9,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10.56</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Waiver and Consent entered into on October 2, 2024, by and among, Learn CW, Holdco and Innventure (incorporated by reference to</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Exhibit 10.10 to Innventure Inc.’s Current Report on Form 8-K filed with the SEC on October 9, 2024).</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1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10.57</w:t>
            </w:r>
          </w:p>
        </w:tc>
        <w:tc>
          <w:tcPr>
            <w:tcW w:w="9900" w:type="dxa"/>
            <w:vAlign w:val="bottom"/>
            <w:gridSpan w:val="9"/>
            <w:shd w:val="clear" w:color="auto" w:fill="CCEEFF"/>
          </w:tcPr>
          <w:p>
            <w:pPr>
              <w:spacing w:after="0" w:line="198"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A&amp;R Glockner Bridge Note, dated October 1, 2024, by and between Innventure LLC and the Glockner Family Venture Fund, LP</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(incorporated by reference to Exhibit 10.11 to Innventure Inc.’s Current Report on Form 8-K filed with the SEC on October 9,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10.58</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A&amp;R Scott Bridge Note, dated October 1, 2024, by and between Innventure LLC and John Scott (incorporated by reference to Exhibit</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10.12 to Innventure Inc.’s Current Report on Form 8-K filed with the SEC on October 9, 2024).</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1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10.59</w:t>
            </w:r>
          </w:p>
        </w:tc>
        <w:tc>
          <w:tcPr>
            <w:tcW w:w="9900" w:type="dxa"/>
            <w:vAlign w:val="bottom"/>
            <w:gridSpan w:val="9"/>
            <w:shd w:val="clear" w:color="auto" w:fill="CCEEFF"/>
          </w:tcPr>
          <w:p>
            <w:pPr>
              <w:spacing w:after="0" w:line="198"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Loan and Security Agreement, dated October 22, 2024, by and among Innventure LLC, WTI Fund X, Inc. and WTI Fund XI, Inc.</w:t>
              </w:r>
            </w:hyperlink>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(incorporated by reference to Exhibit 10.1 to Innventure, Inc.’s Current Report on Form 8-K dated October 23, 2024).</w:t>
              </w:r>
            </w:hyperlink>
          </w:p>
        </w:tc>
      </w:tr>
      <w:tr>
        <w:trPr>
          <w:trHeight w:val="198"/>
        </w:trPr>
        <w:tc>
          <w:tcPr>
            <w:tcW w:w="1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10.60</w:t>
            </w:r>
          </w:p>
        </w:tc>
        <w:tc>
          <w:tcPr>
            <w:tcW w:w="9900" w:type="dxa"/>
            <w:vAlign w:val="bottom"/>
            <w:gridSpan w:val="9"/>
          </w:tcPr>
          <w:p>
            <w:pPr>
              <w:spacing w:after="0" w:line="198"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Supplement to the Loan and Security Agreement, dated October 22, 2024, by and among Innventure LLC, WTI Fund X, Inc. and WTI</w:t>
              </w:r>
            </w:hyperlink>
          </w:p>
        </w:tc>
      </w:tr>
      <w:tr>
        <w:trPr>
          <w:trHeight w:val="234"/>
        </w:trPr>
        <w:tc>
          <w:tcPr>
            <w:tcW w:w="1340" w:type="dxa"/>
            <w:vAlign w:val="bottom"/>
          </w:tcPr>
          <w:p>
            <w:pPr>
              <w:spacing w:after="0"/>
              <w:rPr>
                <w:sz w:val="20"/>
                <w:szCs w:val="20"/>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Fund XI, Inc. (incorporated by reference to Exhibit 10.2 to Innventure, Inc.’s Current Report on Form 8-K dated October 23, 2024)</w:t>
              </w:r>
              <w:r>
                <w:rPr>
                  <w:rFonts w:ascii="Times New Roman" w:cs="Times New Roman" w:eastAsia="Times New Roman" w:hAnsi="Times New Roman"/>
                  <w:sz w:val="18"/>
                  <w:szCs w:val="18"/>
                  <w:color w:val="000000"/>
                </w:rPr>
                <w:t>.</w:t>
              </w:r>
            </w:hyperlink>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99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Subsidiaries of the Registrant (incorporated by reference to Exhibit 21.1 to Innventure, Inc.’s Registration Statement on Form S-1 filed</w:t>
              </w:r>
            </w:hyperlink>
          </w:p>
        </w:tc>
      </w:tr>
      <w:tr>
        <w:trPr>
          <w:trHeight w:val="230"/>
        </w:trPr>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2680" w:type="dxa"/>
            <w:vAlign w:val="bottom"/>
            <w:tcBorders>
              <w:top w:val="single" w:sz="8" w:color="0000FF"/>
              <w:bottom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with the SEC on November 4, 2024).</w:t>
              </w:r>
            </w:hyperlink>
          </w:p>
        </w:tc>
        <w:tc>
          <w:tcPr>
            <w:tcW w:w="7020" w:type="dxa"/>
            <w:vAlign w:val="bottom"/>
            <w:tcBorders>
              <w:top w:val="single" w:sz="8" w:color="0000FF"/>
              <w:bottom w:val="single" w:sz="8" w:color="CCEEFF"/>
            </w:tcBorders>
            <w:gridSpan w:val="6"/>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Rule 13a-14(a) Certification by Gregory W. Haskell, Chief Executive Officer, for the quarter ended September 30, 2024.</w:t>
            </w:r>
          </w:p>
        </w:tc>
      </w:tr>
      <w:tr>
        <w:trPr>
          <w:trHeight w:val="48"/>
        </w:trPr>
        <w:tc>
          <w:tcPr>
            <w:tcW w:w="13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57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89"/>
        </w:trPr>
        <w:tc>
          <w:tcPr>
            <w:tcW w:w="1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13a-14(a) Certification by David Yablunosky, Chief Financial Officer, for the quarter ended September 30, 2024.</w:t>
            </w:r>
          </w:p>
        </w:tc>
      </w:tr>
      <w:tr>
        <w:trPr>
          <w:trHeight w:val="48"/>
        </w:trPr>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320" w:type="dxa"/>
            <w:vAlign w:val="bottom"/>
            <w:tcBorders>
              <w:top w:val="single" w:sz="8" w:color="0000FF"/>
            </w:tcBorders>
            <w:shd w:val="clear" w:color="auto" w:fill="CCEEFF"/>
          </w:tcPr>
          <w:p>
            <w:pPr>
              <w:spacing w:after="0"/>
              <w:rPr>
                <w:sz w:val="4"/>
                <w:szCs w:val="4"/>
                <w:color w:val="auto"/>
              </w:rPr>
            </w:pPr>
          </w:p>
        </w:tc>
        <w:tc>
          <w:tcPr>
            <w:tcW w:w="57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189"/>
        </w:trPr>
        <w:tc>
          <w:tcPr>
            <w:tcW w:w="1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 by Gregory W. Haskell, Chief Executive Officer, for the quarter ended September 30, 2024.</w:t>
            </w:r>
          </w:p>
        </w:tc>
      </w:tr>
      <w:tr>
        <w:trPr>
          <w:trHeight w:val="48"/>
        </w:trPr>
        <w:tc>
          <w:tcPr>
            <w:tcW w:w="13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57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37"/>
        </w:trPr>
        <w:tc>
          <w:tcPr>
            <w:tcW w:w="13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838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Section 1350 Certification by David Yablunosky, Chief Financial Officer, for the quarter ended September 30, 2024.</w:t>
            </w:r>
          </w:p>
        </w:tc>
        <w:tc>
          <w:tcPr>
            <w:tcW w:w="1520" w:type="dxa"/>
            <w:vAlign w:val="bottom"/>
            <w:tcBorders>
              <w:bottom w:val="single" w:sz="8" w:color="CCEEFF"/>
            </w:tcBorders>
            <w:gridSpan w:val="6"/>
            <w:shd w:val="clear" w:color="auto" w:fill="CCEEFF"/>
          </w:tcPr>
          <w:p>
            <w:pPr>
              <w:spacing w:after="0"/>
              <w:rPr>
                <w:sz w:val="20"/>
                <w:szCs w:val="20"/>
                <w:color w:val="auto"/>
              </w:rPr>
            </w:pPr>
          </w:p>
        </w:tc>
      </w:tr>
      <w:tr>
        <w:trPr>
          <w:trHeight w:val="189"/>
        </w:trPr>
        <w:tc>
          <w:tcPr>
            <w:tcW w:w="1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99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Unaudited condensed financial statements of Learn CW Investment Corporation for the nine months ended September 30, 2024 and</w:t>
            </w:r>
          </w:p>
        </w:tc>
      </w:tr>
      <w:tr>
        <w:trPr>
          <w:trHeight w:val="183"/>
        </w:trPr>
        <w:tc>
          <w:tcPr>
            <w:tcW w:w="1340" w:type="dxa"/>
            <w:vAlign w:val="bottom"/>
          </w:tcPr>
          <w:p>
            <w:pPr>
              <w:spacing w:after="0"/>
              <w:rPr>
                <w:sz w:val="15"/>
                <w:szCs w:val="15"/>
                <w:color w:val="auto"/>
              </w:rPr>
            </w:pPr>
          </w:p>
        </w:tc>
        <w:tc>
          <w:tcPr>
            <w:tcW w:w="268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2023</w:t>
            </w:r>
            <w:r>
              <w:rPr>
                <w:rFonts w:ascii="Times New Roman" w:cs="Times New Roman" w:eastAsia="Times New Roman" w:hAnsi="Times New Roman"/>
                <w:sz w:val="18"/>
                <w:szCs w:val="18"/>
                <w:color w:val="000000"/>
              </w:rPr>
              <w:t>.</w:t>
            </w:r>
          </w:p>
        </w:tc>
        <w:tc>
          <w:tcPr>
            <w:tcW w:w="57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540" w:type="dxa"/>
            <w:vAlign w:val="bottom"/>
            <w:gridSpan w:val="8"/>
          </w:tcPr>
          <w:p>
            <w:pPr>
              <w:spacing w:after="0" w:line="20" w:lineRule="exact"/>
              <w:rPr>
                <w:sz w:val="1"/>
                <w:szCs w:val="1"/>
                <w:color w:val="auto"/>
              </w:rPr>
            </w:pPr>
          </w:p>
        </w:tc>
      </w:tr>
      <w:tr>
        <w:trPr>
          <w:trHeight w:val="245"/>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financial statements from Innventure, Inc.'s Quarterly Report on Form 10-Q for the quarterly period ended September 30,</w:t>
            </w:r>
          </w:p>
        </w:tc>
      </w:tr>
      <w:tr>
        <w:trPr>
          <w:trHeight w:val="223"/>
        </w:trPr>
        <w:tc>
          <w:tcPr>
            <w:tcW w:w="1340" w:type="dxa"/>
            <w:vAlign w:val="bottom"/>
          </w:tcPr>
          <w:p>
            <w:pPr>
              <w:spacing w:after="0"/>
              <w:rPr>
                <w:sz w:val="19"/>
                <w:szCs w:val="19"/>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2024, formatted in Inline XBRL (eXtensible Business Reporting Language):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440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ind w:left="1880" w:hanging="221"/>
        <w:spacing w:after="0" w:line="234" w:lineRule="auto"/>
        <w:tabs>
          <w:tab w:leader="none" w:pos="1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Balance Sheets as of September 30, 2024 (Unaudited) and December 31, 2023</w:t>
      </w:r>
    </w:p>
    <w:p>
      <w:pPr>
        <w:ind w:left="1660" w:right="80" w:hanging="1"/>
        <w:spacing w:after="0" w:line="234" w:lineRule="auto"/>
        <w:tabs>
          <w:tab w:leader="none" w:pos="19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Operations and Comprehensive Income (Loss) for the nine months ended September 30, 2024 and 2023 (Unaudited)</w:t>
      </w:r>
    </w:p>
    <w:p>
      <w:pPr>
        <w:spacing w:after="0" w:line="1" w:lineRule="exact"/>
        <w:rPr>
          <w:rFonts w:ascii="Times New Roman" w:cs="Times New Roman" w:eastAsia="Times New Roman" w:hAnsi="Times New Roman"/>
          <w:sz w:val="18"/>
          <w:szCs w:val="18"/>
          <w:color w:val="auto"/>
        </w:rPr>
      </w:pPr>
    </w:p>
    <w:p>
      <w:pPr>
        <w:ind w:left="1660" w:right="80" w:hanging="1"/>
        <w:spacing w:after="0" w:line="226" w:lineRule="auto"/>
        <w:tabs>
          <w:tab w:leader="none" w:pos="1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Mezzanine Capital for the nine months ended September 30, 2024 and 2023 (Unaudited)</w:t>
      </w:r>
    </w:p>
    <w:p>
      <w:pPr>
        <w:spacing w:after="0" w:line="1" w:lineRule="exact"/>
        <w:rPr>
          <w:rFonts w:ascii="Times New Roman" w:cs="Times New Roman" w:eastAsia="Times New Roman" w:hAnsi="Times New Roman"/>
          <w:sz w:val="18"/>
          <w:szCs w:val="18"/>
          <w:color w:val="auto"/>
        </w:rPr>
      </w:pPr>
    </w:p>
    <w:p>
      <w:pPr>
        <w:ind w:left="1660" w:right="420" w:hanging="1"/>
        <w:spacing w:after="0" w:line="234" w:lineRule="auto"/>
        <w:tabs>
          <w:tab w:leader="none" w:pos="19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Unitholders' Deficit for the nine months ended September 30, 2024 and 2023 (Unaudited)</w:t>
      </w:r>
    </w:p>
    <w:p>
      <w:pPr>
        <w:spacing w:after="0" w:line="1" w:lineRule="exact"/>
        <w:rPr>
          <w:rFonts w:ascii="Times New Roman" w:cs="Times New Roman" w:eastAsia="Times New Roman" w:hAnsi="Times New Roman"/>
          <w:sz w:val="18"/>
          <w:szCs w:val="18"/>
          <w:color w:val="auto"/>
        </w:rPr>
      </w:pPr>
    </w:p>
    <w:p>
      <w:pPr>
        <w:ind w:left="1920" w:hanging="261"/>
        <w:spacing w:after="0" w:line="234" w:lineRule="auto"/>
        <w:tabs>
          <w:tab w:leader="none" w:pos="1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nine months ended September 30, 2024 and 2023 (Unaudited)</w:t>
      </w:r>
    </w:p>
    <w:p>
      <w:pPr>
        <w:ind w:left="1960" w:hanging="301"/>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w:t>
      </w:r>
    </w:p>
    <w:p>
      <w:pPr>
        <w:sectPr>
          <w:pgSz w:w="11900" w:h="16838" w:orient="portrait"/>
          <w:cols w:equalWidth="0" w:num="1">
            <w:col w:w="11240"/>
          </w:cols>
          <w:pgMar w:left="320" w:top="1440"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26" w:lineRule="exact"/>
        <w:rPr>
          <w:sz w:val="20"/>
          <w:szCs w:val="20"/>
          <w:color w:val="auto"/>
        </w:rPr>
      </w:pPr>
    </w:p>
    <w:p>
      <w:pPr>
        <w:sectPr>
          <w:pgSz w:w="11900" w:h="16838" w:orient="portrait"/>
          <w:cols w:equalWidth="0" w:num="2">
            <w:col w:w="620" w:space="720"/>
            <w:col w:w="990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ectPr>
          <w:pgSz w:w="11900" w:h="16838" w:orient="portrait"/>
          <w:cols w:equalWidth="0" w:num="1">
            <w:col w:w="11240"/>
          </w:cols>
          <w:pgMar w:left="320" w:top="1440" w:right="339" w:bottom="1440" w:gutter="0" w:footer="0" w:header="0"/>
          <w:type w:val="continuous"/>
        </w:sectPr>
      </w:pPr>
    </w:p>
    <w:p>
      <w:pPr>
        <w:spacing w:after="0" w:line="11" w:lineRule="exact"/>
        <w:rPr>
          <w:sz w:val="20"/>
          <w:szCs w:val="20"/>
          <w:color w:val="auto"/>
        </w:rPr>
      </w:pPr>
    </w:p>
    <w:p>
      <w:pPr>
        <w:ind w:right="40" w:firstLine="8"/>
        <w:spacing w:after="0" w:line="283" w:lineRule="auto"/>
        <w:tabs>
          <w:tab w:leader="none" w:pos="28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identified information has been excluded from this exhibit pursuant to Rule 601(b)(10) of Regulation S-K because it is both (i) not material and (ii)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7" w:name="page78"/>
    <w:bookmarkEnd w:id="77"/>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The Registrant respectfully submits that it has filed a Confidential Treatment Request with the Commission with respect to this exhibit.</w:t>
      </w:r>
    </w:p>
    <w:p>
      <w:pPr>
        <w:spacing w:after="0" w:line="28" w:lineRule="exact"/>
        <w:rPr>
          <w:sz w:val="20"/>
          <w:szCs w:val="20"/>
          <w:color w:val="auto"/>
        </w:rPr>
      </w:pPr>
    </w:p>
    <w:p>
      <w:pPr>
        <w:ind w:firstLine="8"/>
        <w:spacing w:after="0" w:line="237" w:lineRule="auto"/>
        <w:tabs>
          <w:tab w:leader="none" w:pos="2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 SEC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Certain schedules have been omitted pursuant to Item 601(a)(5) of Regulation S-K. Innventure, Inc. agrees to furnish a copy of any omitted schedule to the SEC upon request.</w:t>
      </w:r>
    </w:p>
    <w:p>
      <w:pPr>
        <w:spacing w:after="0" w:line="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 Gregory W. Haskell</w:t>
      </w: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-71755</wp:posOffset>
            </wp:positionV>
            <wp:extent cx="27000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David Yablunosky</w:t>
            </w:r>
          </w:p>
        </w:tc>
        <w:tc>
          <w:tcPr>
            <w:tcW w:w="0" w:type="dxa"/>
            <w:vAlign w:val="bottom"/>
          </w:tcPr>
          <w:p>
            <w:pPr>
              <w:spacing w:after="0"/>
              <w:rPr>
                <w:sz w:val="1"/>
                <w:szCs w:val="1"/>
                <w:color w:val="auto"/>
              </w:rPr>
            </w:pPr>
          </w:p>
        </w:tc>
      </w:tr>
      <w:tr>
        <w:trPr>
          <w:trHeight w:val="88"/>
        </w:trPr>
        <w:tc>
          <w:tcPr>
            <w:tcW w:w="296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20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1413" w:right="3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W. Haskell, certify that:</w:t>
      </w:r>
    </w:p>
    <w:p>
      <w:pPr>
        <w:spacing w:after="0" w:line="25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Innventure, Inc.;</w:t>
      </w:r>
    </w:p>
    <w:p>
      <w:pPr>
        <w:spacing w:after="0" w:line="252" w:lineRule="exact"/>
        <w:rPr>
          <w:rFonts w:ascii="Times New Roman" w:cs="Times New Roman" w:eastAsia="Times New Roman" w:hAnsi="Times New Roman"/>
          <w:sz w:val="18"/>
          <w:szCs w:val="18"/>
          <w:color w:val="auto"/>
        </w:rPr>
      </w:pPr>
    </w:p>
    <w:p>
      <w:pPr>
        <w:ind w:left="660" w:right="60" w:hanging="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40" w:hanging="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80" w:hanging="4"/>
        <w:spacing w:after="0" w:line="282" w:lineRule="auto"/>
        <w:tabs>
          <w:tab w:leader="none" w:pos="9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52"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40" w:hanging="4"/>
        <w:spacing w:after="0" w:line="312" w:lineRule="auto"/>
        <w:tabs>
          <w:tab w:leader="none" w:pos="97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200" w:firstLine="4"/>
        <w:spacing w:after="0" w:line="282" w:lineRule="auto"/>
        <w:tabs>
          <w:tab w:leader="none" w:pos="15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30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43180</wp:posOffset>
            </wp:positionV>
            <wp:extent cx="19545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W. Haskell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Yablunosky, certify that:</w:t>
      </w:r>
    </w:p>
    <w:p>
      <w:pPr>
        <w:spacing w:after="0" w:line="198"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Innventure, Inc.;</w:t>
      </w:r>
    </w:p>
    <w:p>
      <w:pPr>
        <w:spacing w:after="0" w:line="184" w:lineRule="exact"/>
        <w:rPr>
          <w:rFonts w:ascii="Times New Roman" w:cs="Times New Roman" w:eastAsia="Times New Roman" w:hAnsi="Times New Roman"/>
          <w:sz w:val="18"/>
          <w:szCs w:val="18"/>
          <w:color w:val="auto"/>
        </w:rPr>
      </w:pPr>
    </w:p>
    <w:p>
      <w:pPr>
        <w:ind w:left="660" w:right="60" w:hanging="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40" w:hanging="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660" w:right="180" w:hanging="4"/>
        <w:spacing w:after="0" w:line="282" w:lineRule="auto"/>
        <w:tabs>
          <w:tab w:leader="none" w:pos="9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1"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140" w:hanging="4"/>
        <w:spacing w:after="0" w:line="312" w:lineRule="auto"/>
        <w:tabs>
          <w:tab w:leader="none" w:pos="97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1300" w:right="200" w:firstLine="4"/>
        <w:spacing w:after="0" w:line="282" w:lineRule="auto"/>
        <w:tabs>
          <w:tab w:leader="none" w:pos="15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39"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43180</wp:posOffset>
            </wp:positionV>
            <wp:extent cx="1954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Yablunosky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8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Innventure, Inc. (the “Company”) on Form 10-Q for the period ended September 30, 2024 (the “Report”), Gregory W. Haskell, Chief Executive Officer of the Company, certifies, to the best of his knowledge, pursuant to 18 U.S.C. Section 1350, as adopted pursuant to Section 906 of the Sarbanes-Oxley Act of 2002, that:</w:t>
      </w:r>
    </w:p>
    <w:p>
      <w:pPr>
        <w:spacing w:after="0" w:line="135"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39"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43180</wp:posOffset>
            </wp:positionV>
            <wp:extent cx="1954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W. Haskell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Innventure, Inc. (the “Company”) on Form 10-Q for the period ended September 30, 2024 (the “Report”), David Yablunosky, Chief Financial Officer of the Company, certifies, to the best of his knowledge, pursuant to 18 U.S.C. Section 1350, as adopted pursuant to Section 906 of the Sarbanes-Oxley Act of 2002, that:</w:t>
      </w:r>
    </w:p>
    <w:p>
      <w:pPr>
        <w:spacing w:after="0" w:line="135"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39"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43180</wp:posOffset>
            </wp:positionV>
            <wp:extent cx="1954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Yablunosky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86"/>
        </w:trPr>
        <w:tc>
          <w:tcPr>
            <w:tcW w:w="10060" w:type="dxa"/>
            <w:vAlign w:val="bottom"/>
          </w:tcPr>
          <w:p>
            <w:pPr>
              <w:spacing w:after="0"/>
              <w:rPr>
                <w:sz w:val="24"/>
                <w:szCs w:val="24"/>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w w:val="96"/>
              </w:rPr>
              <w:t>Exhibit 99.1</w:t>
            </w:r>
          </w:p>
        </w:tc>
      </w:tr>
      <w:tr>
        <w:trPr>
          <w:trHeight w:val="366"/>
        </w:trPr>
        <w:tc>
          <w:tcPr>
            <w:tcW w:w="1006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LEARN CW INVESTMENT CORPORATION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8"/>
        </w:trPr>
        <w:tc>
          <w:tcPr>
            <w:tcW w:w="1006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CONDENSED FINANCIAL STATEMENTS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909"/>
        </w:trPr>
        <w:tc>
          <w:tcPr>
            <w:tcW w:w="1006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73"/>
        </w:trPr>
        <w:tc>
          <w:tcPr>
            <w:tcW w:w="10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10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10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Balance Sheets as of September 30, 2024 (Unaudited) and December 31, 2023</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 Condensed Statements of Operations for the Three and Nine Months ended September 30, 2024 and 2023</w:t>
            </w:r>
          </w:p>
        </w:tc>
        <w:tc>
          <w:tcPr>
            <w:tcW w:w="1180" w:type="dxa"/>
            <w:vAlign w:val="bottom"/>
            <w:gridSpan w:val="3"/>
          </w:tcPr>
          <w:p>
            <w:pPr>
              <w:jc w:val="center"/>
              <w:ind w:left="386"/>
              <w:spacing w:after="0"/>
              <w:rPr>
                <w:sz w:val="20"/>
                <w:szCs w:val="20"/>
                <w:color w:val="auto"/>
              </w:rPr>
            </w:pPr>
            <w:r>
              <w:rPr>
                <w:rFonts w:ascii="Times New Roman" w:cs="Times New Roman" w:eastAsia="Times New Roman" w:hAnsi="Times New Roman"/>
                <w:sz w:val="18"/>
                <w:szCs w:val="18"/>
                <w:color w:val="auto"/>
              </w:rPr>
              <w:t>3</w:t>
            </w:r>
          </w:p>
        </w:tc>
      </w:tr>
      <w:tr>
        <w:trPr>
          <w:trHeight w:val="22"/>
        </w:trPr>
        <w:tc>
          <w:tcPr>
            <w:tcW w:w="10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6"/>
        </w:trPr>
        <w:tc>
          <w:tcPr>
            <w:tcW w:w="10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Unaudited Condensed Statements of Changes in Shareholders' Deficit for the Three and Nine Months ended September 30, 2024 and 2023</w:t>
            </w:r>
          </w:p>
        </w:tc>
        <w:tc>
          <w:tcPr>
            <w:tcW w:w="1180" w:type="dxa"/>
            <w:vAlign w:val="bottom"/>
            <w:tcBorders>
              <w:bottom w:val="single" w:sz="8" w:color="CCEEFF"/>
            </w:tcBorders>
            <w:gridSpan w:val="3"/>
            <w:shd w:val="clear" w:color="auto" w:fill="CCEEFF"/>
          </w:tcPr>
          <w:p>
            <w:pPr>
              <w:jc w:val="center"/>
              <w:ind w:left="386"/>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 Condensed Statements of Cash Flows for the Nine Months ended September 30, 2024 and 2023</w:t>
            </w:r>
          </w:p>
        </w:tc>
        <w:tc>
          <w:tcPr>
            <w:tcW w:w="1180" w:type="dxa"/>
            <w:vAlign w:val="bottom"/>
            <w:gridSpan w:val="3"/>
          </w:tcPr>
          <w:p>
            <w:pPr>
              <w:jc w:val="center"/>
              <w:ind w:left="386"/>
              <w:spacing w:after="0"/>
              <w:rPr>
                <w:sz w:val="20"/>
                <w:szCs w:val="20"/>
                <w:color w:val="auto"/>
              </w:rPr>
            </w:pPr>
            <w:r>
              <w:rPr>
                <w:rFonts w:ascii="Times New Roman" w:cs="Times New Roman" w:eastAsia="Times New Roman" w:hAnsi="Times New Roman"/>
                <w:sz w:val="18"/>
                <w:szCs w:val="18"/>
                <w:color w:val="auto"/>
              </w:rPr>
              <w:t>5</w:t>
            </w:r>
          </w:p>
        </w:tc>
      </w:tr>
      <w:tr>
        <w:trPr>
          <w:trHeight w:val="22"/>
        </w:trPr>
        <w:tc>
          <w:tcPr>
            <w:tcW w:w="10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4"/>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to Condensed Financial Statements (Unaudited)</w:t>
            </w:r>
          </w:p>
        </w:tc>
        <w:tc>
          <w:tcPr>
            <w:tcW w:w="1180" w:type="dxa"/>
            <w:vAlign w:val="bottom"/>
            <w:gridSpan w:val="3"/>
            <w:shd w:val="clear" w:color="auto" w:fill="CCEEFF"/>
          </w:tcPr>
          <w:p>
            <w:pPr>
              <w:jc w:val="center"/>
              <w:ind w:left="386"/>
              <w:spacing w:after="0"/>
              <w:rPr>
                <w:sz w:val="20"/>
                <w:szCs w:val="20"/>
                <w:color w:val="auto"/>
              </w:rPr>
            </w:pPr>
            <w:r>
              <w:rPr>
                <w:rFonts w:ascii="Times New Roman" w:cs="Times New Roman" w:eastAsia="Times New Roman" w:hAnsi="Times New Roman"/>
                <w:sz w:val="18"/>
                <w:szCs w:val="18"/>
                <w:color w:val="auto"/>
              </w:rPr>
              <w:t>6</w:t>
            </w:r>
          </w:p>
        </w:tc>
      </w:tr>
      <w:tr>
        <w:trPr>
          <w:trHeight w:val="22"/>
        </w:trPr>
        <w:tc>
          <w:tcPr>
            <w:tcW w:w="100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91" w:right="339" w:bottom="1440" w:gutter="0" w:footer="0" w:header="0"/>
        </w:sectPr>
      </w:pPr>
    </w:p>
    <w:bookmarkStart w:id="84" w:name="page85"/>
    <w:bookmarkEnd w:id="84"/>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0"/>
                <w:szCs w:val="20"/>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8"/>
        </w:trPr>
        <w:tc>
          <w:tcPr>
            <w:tcW w:w="6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116,234</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602,682</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718,916</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in Trust Account</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103,062,708</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100,304,232</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103,108,054</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101,023,148</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9,210,421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5,985,161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91,720,869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249,339</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credits</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587,443</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101,518,733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6,634,500</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 – related party</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4,628,000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2,439,000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1,584,910</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372,920</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107,731,643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9,446,420</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ordinary shares; 1,027,674 and 9,338,421 shares at redemption value of $11.04 per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11,341,839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100,054,892</w:t>
            </w:r>
          </w:p>
        </w:tc>
        <w:tc>
          <w:tcPr>
            <w:tcW w:w="0" w:type="dxa"/>
            <w:vAlign w:val="bottom"/>
          </w:tcPr>
          <w:p>
            <w:pPr>
              <w:spacing w:after="0"/>
              <w:rPr>
                <w:sz w:val="1"/>
                <w:szCs w:val="1"/>
                <w:color w:val="auto"/>
              </w:rPr>
            </w:pP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and $10.71 per share at September 30, 2024 and December 31, 2023,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6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$0.0001 par value; 1,000,000 shares authorized; none outstanding</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none outstanding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(excluding 1,027,674 and 9,338,421 shares subject to possible redemption, respectively) at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5,750,000 shares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575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at September 30, 2024 and December 31, 2023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(15,966,003)</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(8,478,739)</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(15,965,428)</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(8,478,164)</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103,108,054</w:t>
            </w:r>
          </w:p>
        </w:tc>
        <w:tc>
          <w:tcPr>
            <w:tcW w:w="1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101,023,148</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320" w:top="1392" w:right="7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80" w:type="dxa"/>
            <w:vAlign w:val="bottom"/>
          </w:tcPr>
          <w:p>
            <w:pPr>
              <w:spacing w:after="0"/>
              <w:rPr>
                <w:sz w:val="19"/>
                <w:szCs w:val="19"/>
                <w:color w:val="auto"/>
              </w:rPr>
            </w:pPr>
          </w:p>
        </w:tc>
        <w:tc>
          <w:tcPr>
            <w:tcW w:w="27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Formation costs and other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1,997,233</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1,865,316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4,925,273</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2,646,437</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(1,997,233)</w:t>
            </w:r>
          </w:p>
        </w:tc>
        <w:tc>
          <w:tcPr>
            <w:tcW w:w="5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(1,865,316)</w:t>
            </w: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(4,925,273)</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(2,646,437)</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Trust Account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1,019,977</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3,603,790</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1,657,815</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8,808,542</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on cash account</w:t>
            </w:r>
          </w:p>
        </w:tc>
        <w:tc>
          <w:tcPr>
            <w:tcW w:w="28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556,743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556,743</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1,211,990</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(1,211,990)</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559,380</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234,734</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2,295,217</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(4,479,448)</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7,278,603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9,338,421</w:t>
            </w: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23,000,000</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9,338,421</w:t>
            </w: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Basic and diluted net (loss)/income per share, Class 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20" w:type="dxa"/>
            <w:vAlign w:val="bottom"/>
            <w:vMerge w:val="continue"/>
          </w:tcPr>
          <w:p>
            <w:pPr>
              <w:spacing w:after="0"/>
              <w:rPr>
                <w:sz w:val="10"/>
                <w:szCs w:val="10"/>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0.02</w:t>
            </w:r>
          </w:p>
        </w:tc>
        <w:tc>
          <w:tcPr>
            <w:tcW w:w="5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0.08</w:t>
            </w:r>
          </w:p>
        </w:tc>
        <w:tc>
          <w:tcPr>
            <w:tcW w:w="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(0.30)</w:t>
            </w:r>
          </w:p>
        </w:tc>
        <w:tc>
          <w:tcPr>
            <w:tcW w:w="5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0" w:type="dxa"/>
            <w:vAlign w:val="bottom"/>
          </w:tcPr>
          <w:p>
            <w:pPr>
              <w:spacing w:after="0"/>
              <w:rPr>
                <w:sz w:val="1"/>
                <w:szCs w:val="1"/>
                <w:color w:val="auto"/>
              </w:rPr>
            </w:pPr>
          </w:p>
        </w:tc>
      </w:tr>
      <w:tr>
        <w:trPr>
          <w:trHeight w:val="22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5,750,000</w:t>
            </w: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5,750,000</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5,750,000</w:t>
            </w: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Basic and diluted net (loss)/income per share, Class B ordinary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20" w:type="dxa"/>
            <w:vAlign w:val="bottom"/>
            <w:vMerge w:val="continue"/>
          </w:tcPr>
          <w:p>
            <w:pPr>
              <w:spacing w:after="0"/>
              <w:rPr>
                <w:sz w:val="10"/>
                <w:szCs w:val="10"/>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0.02</w:t>
            </w:r>
          </w:p>
        </w:tc>
        <w:tc>
          <w:tcPr>
            <w:tcW w:w="5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0.08</w:t>
            </w:r>
          </w:p>
        </w:tc>
        <w:tc>
          <w:tcPr>
            <w:tcW w:w="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(0.30)</w:t>
            </w:r>
          </w:p>
        </w:tc>
        <w:tc>
          <w:tcPr>
            <w:tcW w:w="5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0" w:type="dxa"/>
            <w:vAlign w:val="bottom"/>
          </w:tcPr>
          <w:p>
            <w:pPr>
              <w:spacing w:after="0"/>
              <w:rPr>
                <w:sz w:val="1"/>
                <w:szCs w:val="1"/>
                <w:color w:val="auto"/>
              </w:rPr>
            </w:pPr>
          </w:p>
        </w:tc>
      </w:tr>
      <w:tr>
        <w:trPr>
          <w:trHeight w:val="22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STATEMENTS OF CHANGES IN SHAREHOLDERS’ DEFICIT</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120" w:type="dxa"/>
            <w:vAlign w:val="bottom"/>
          </w:tcPr>
          <w:p>
            <w:pPr>
              <w:spacing w:after="0"/>
              <w:rPr>
                <w:sz w:val="20"/>
                <w:szCs w:val="20"/>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 Paid-in</w:t>
            </w:r>
          </w:p>
        </w:tc>
        <w:tc>
          <w:tcPr>
            <w:tcW w:w="18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2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(8,478,739)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(8,478,164)</w:t>
            </w:r>
          </w:p>
        </w:tc>
        <w:tc>
          <w:tcPr>
            <w:tcW w:w="0" w:type="dxa"/>
            <w:vAlign w:val="bottom"/>
          </w:tcPr>
          <w:p>
            <w:pPr>
              <w:spacing w:after="0"/>
              <w:rPr>
                <w:sz w:val="1"/>
                <w:szCs w:val="1"/>
                <w:color w:val="auto"/>
              </w:rPr>
            </w:pPr>
          </w:p>
        </w:tc>
      </w:tr>
      <w:tr>
        <w:trPr>
          <w:trHeight w:val="184"/>
        </w:trPr>
        <w:tc>
          <w:tcPr>
            <w:tcW w:w="2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Accretion of Class A ordinary shares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2"/>
          </w:tcPr>
          <w:p>
            <w:pPr>
              <w:jc w:val="right"/>
              <w:ind w:righ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1420" w:type="dxa"/>
            <w:vAlign w:val="bottom"/>
            <w:gridSpan w:val="2"/>
          </w:tcPr>
          <w:p>
            <w:pPr>
              <w:jc w:val="right"/>
              <w:ind w:righ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380" w:type="dxa"/>
            <w:vAlign w:val="bottom"/>
            <w:gridSpan w:val="2"/>
          </w:tcPr>
          <w:p>
            <w:pPr>
              <w:ind w:left="100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redemption value</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(2,153,812)</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28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(11,082,551)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(11,081,976)</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Accretion of Class A ordinary shares</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ind w:left="100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(1,087,840)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(1,087,840)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redemption value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(2,560,370)</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(14,730,761)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(14,730,186)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Accretion of Class A ordinary shares</w:t>
            </w: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720" w:type="dxa"/>
            <w:vAlign w:val="bottom"/>
            <w:tcBorders>
              <w:top w:val="single" w:sz="8" w:color="CCEEFF"/>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ind w:left="100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(1,469,976)</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(1,469,976)</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redemption value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234,734</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28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(15,966,003)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(15,965,428)</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2720" w:type="dxa"/>
            <w:vAlign w:val="bottom"/>
          </w:tcPr>
          <w:p>
            <w:pPr>
              <w:spacing w:after="0"/>
              <w:rPr>
                <w:sz w:val="24"/>
                <w:szCs w:val="24"/>
                <w:color w:val="auto"/>
              </w:rPr>
            </w:pPr>
          </w:p>
        </w:tc>
        <w:tc>
          <w:tcPr>
            <w:tcW w:w="6960" w:type="dxa"/>
            <w:vAlign w:val="bottom"/>
            <w:gridSpan w:val="1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FOR THE THREE AND NINE MONTHS ENDED SEPTEMBER 30, 2023</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120" w:type="dxa"/>
            <w:vAlign w:val="bottom"/>
          </w:tcPr>
          <w:p>
            <w:pPr>
              <w:spacing w:after="0"/>
              <w:rPr>
                <w:sz w:val="24"/>
                <w:szCs w:val="24"/>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 Paid-in</w:t>
            </w:r>
          </w:p>
        </w:tc>
        <w:tc>
          <w:tcPr>
            <w:tcW w:w="18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2023</w:t>
            </w:r>
          </w:p>
        </w:tc>
        <w:tc>
          <w:tcPr>
            <w:tcW w:w="300" w:type="dxa"/>
            <w:vAlign w:val="bottom"/>
            <w:tcBorders>
              <w:top w:val="single" w:sz="8" w:color="CCEEFF"/>
            </w:tcBorders>
            <w:gridSpan w:val="2"/>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(11,661,346)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(11,660,771)</w:t>
            </w: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Class A ordinary shares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380" w:type="dxa"/>
            <w:vAlign w:val="bottom"/>
            <w:gridSpan w:val="2"/>
          </w:tcPr>
          <w:p>
            <w:pPr>
              <w:ind w:left="10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(2,460,924)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(2,460,924)</w:t>
            </w: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redemption value</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2,853,719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2,853,719</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300" w:type="dxa"/>
            <w:vAlign w:val="bottom"/>
            <w:gridSpan w:val="2"/>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(11,268,551)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(11,267,976)</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Accretion of Class A ordinary shares</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ind w:left="100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(2,743,828)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(2,743,828)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redemption value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2,129,667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2,129,667</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3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(11,882,137)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Accretion of Class A ordinary shares</w:t>
            </w: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720" w:type="dxa"/>
            <w:vAlign w:val="bottom"/>
            <w:tcBorders>
              <w:top w:val="single" w:sz="8" w:color="CCEEFF"/>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ind w:left="100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(4,293,790)</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(4,293,790)</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redemption value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settlement of underwriting</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9,223,757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9,223,757</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2,295,217</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3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(4,656,953)</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2"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8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Pr>
          <w:p>
            <w:pPr>
              <w:spacing w:after="0"/>
              <w:rPr>
                <w:sz w:val="20"/>
                <w:szCs w:val="20"/>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0"/>
                <w:szCs w:val="20"/>
                <w:color w:val="auto"/>
              </w:rPr>
            </w:pP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(4,479,448)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7,278,603</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(8,808,542)</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1,211,990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(559,380)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(556,743)</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602,682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509,522</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3,225,260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1,881,319</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credits</w:t>
            </w: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187,443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(909,888)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(255,221)</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249,339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(1,100,661)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(690,000)</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convertible note – related party</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2,775,192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convertible note – related party</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for Class A ordinary shares previously redeemed</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(249,339)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1,939,661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228,000</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(70,888)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(717,221)</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748,857</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45,346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91,720,869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Class A ordinary shares subject to possible redemption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3,007,816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9,498,542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9,223,757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92" w:right="339" w:bottom="1440" w:gutter="0" w:footer="0" w:header="0"/>
        </w:sectPr>
      </w:pPr>
    </w:p>
    <w:bookmarkStart w:id="88" w:name="page89"/>
    <w:bookmarkEnd w:id="88"/>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Learn CW Investment Corporation (the “Company”) is a blank check company incorporated in the Cayman Islands on February 2, 2021. The Company was formed for the purpose of effectuating a merger, capital stock exchange, asset acquisition, stock purchase, reorganization or other similar business combination with one or more businesses (an “initial business combination”). The Company is an early stage and emerging growth company and, as such, the Company is subject to all of the risks associated with early stage and emerging growth companies.</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of September 30, 2024, the Company had not yet commenced any operations. All activity through September 30, 2024 relates to the Company’s formation, the initial public offering (the “Initial Public Offering”), identifying a target for an initial business combination, executing agreements, including without limitation the Business Combination Agreement (the “Business Combination Agreement”) entered into on October 24, 2023 with Learn SPAC HoldCo, Inc., a Delaware corporation and direct, wholly owned subsidiary of the Company (“Holdco”), LCW Merger Sub, Inc., a Delaware corporation and direct, wholly owned subsidiary of Holdco (“LCW Merger Sub”), Innventure Merger Sub, LLC, a Delaware limited liability company and direct, wholly owned subsidiary of Holdco (“Innventure Merger Sub”) and Innventure LLC, a Delaware limited liability company (“Innventure”).</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Business Combination Agreement related to the proposed business combination transaction with Innventure (the “Business Combination” and, together with the other transactions contemplated by thereby, the “Transactions”), and public filings associated therewith.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21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October 7, 2021. On October 13, 2021, the Company consummated the Initial Public Offering of 23,000,000 units (the “Units”), which included 3,000,000 Units issued pursuant to the exercise by the underwriter of its over-allotment option. Each Unit consists of one Class A ordinary share of the Company, $0.0001 par value per share (the “Class A ordinary shares”), and one-half of one redeemable warrant of the Company (the “Public Warrants”), each whole Public Warrant entitling the holder thereof to purchase one Class A ordinary share at an exercise price of $11.50 per share. The Units were sold at an offering price of $10.00 per Unit, generating gross proceeds of $230,000,000.</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Company completed the private sale of 7,146,000 warrants (the “Private Placement Warrants” and, together with the Public Warrants, the “Warrants”) to the Company’s sponsor, CWAM LC Sponsor LLC (the “Sponsor”), at a purchase price of $1.00 per Private Placement Warrant, generating gross proceeds to the Company of $7,146,000.</w:t>
      </w:r>
    </w:p>
    <w:p>
      <w:pPr>
        <w:spacing w:after="0" w:line="21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Following the closing of the Initial Public Offering on October 13, 2021, an amount of $232,300,000 ($10.10 per Unit) from the net proceeds of the sale of the Units in the Initial Public Offering and the Private Placement Warrants was placed in a trust account (“Trust Account”), to be held until the earlier of: (i) the consummation of an initial business combination or (ii) the distribution of the Trust Account, as described below. The amounts held in the Trust Account were initially invested in permitted United States “government securities” within the meaning of Section 2(a)(16) of the Investment Company Act, having a maturity of 185 days or less or in money market funds meeting certain conditions under Rule 2a-7 promulgated under the Investment Company Act that invest only in direct U.S. government treasury obligations until October 2023, when the trustee liquidated such investments and the assets in the Trust Account were held in cash accounts. In May 2024, the assets in the Trust Account were moved to an interest-bearing demand deposit account. On September 27, 2024, the assets in the Trust Account were moved from the interest-bearing demand deposit account to principal cash balance within the Trust Account in anticipation of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89" w:name="page90"/>
    <w:bookmarkEnd w:id="8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Transaction costs of the Initial Public Offering amounted to $13,157,186, consisting of $2,446,000 of underwriting fee, $9,780,500 of deferred underwriting fee and $930,686 of other offering costs, with $781,595 included in accumulated deficit as an allocation for the Public Warrants and the Private Placement Warrants.</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an initial business combination.</w:t>
      </w:r>
    </w:p>
    <w:p>
      <w:pPr>
        <w:spacing w:after="0" w:line="19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Company will provide its holders of Public Shares (the “Public Shareholders”) with the opportunity to redeem all or a portion of their Public Shares upon the completion of an initial business combination either (i) in connection with a shareholder meeting of the Company called to approve an initial business combination or (ii) by means of a tender offer. In connection with a proposed initial business combination, the Company may seek shareholder approval of such business combination at a meeting called for such purpose at which shareholders may seek to redeem their shares, regardless of whether they vote for or against such business combination.</w:t>
      </w:r>
    </w:p>
    <w:p>
      <w:pPr>
        <w:spacing w:after="0" w:line="22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If the Company seeks shareholder approval of an initial business combination, the Company will proceed with such business combination only if the Company receives an ordinary resolution under Cayman Islands law approving such business combination, which requires the affirmative vote of a majority of the shareholders who attend and vote at a general meeting of the Company, or such other vote as required by law or stock exchange rule. If a shareholder vote is not required and the Company does not decide to hold a shareholder vote for business or other legal reasons, the Company will, pursuant to its Amended and Restated Memorandum and Articles of Association (the “Charter”), conduct the redemptions pursuant to the tender offer rules of the Securities and Exchange Commission (the “SEC”), and file tender offer documents containing substantially the same information as would be included in a proxy statement with the SEC prior to completing an initial business combination. If the Company seeks shareholder approval in connection with an initial business combination, the Sponsor has agreed to vote its Founder Shares (as defined in Note 5) and any Public Shares purchased during or after the Proposed Public Offering in favor of approving such business combination. Additionally, each Public Shareholder may elect to redeem their Public Shares, without voting, and if they do vote, irrespective of whether they vote for or against a proposed initial business combination.</w:t>
      </w:r>
    </w:p>
    <w:p>
      <w:pPr>
        <w:spacing w:after="0" w:line="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an initial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Sponsor has agreed (a) to waive its redemption rights with respect to any Founder Shares and Public Shares held by it in connection with the completion of an initial business combination and (b) not to propose an amendment to the Charter (i) to modify the substance or timing of the Company’s obligation to allow redemption in connection with an initial business combination or to redeem 100% of the Public Shares if the Company does not complete an initial business combination by the Extended Date (as defined below) or (ii) with respect to any other provision relating to shareholders’ rights or pre-initial business combination activity, unless the Company provides the Public Shareholders with the opportunity to redeem their Class A ordinary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Class A ordinary shares.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11, 2023, the Public Shareholders of the Company held an extraordinary general meeting (the “Meeting”) and approved a proposal to</w:t>
      </w:r>
    </w:p>
    <w:p>
      <w:pPr>
        <w:spacing w:after="0" w:line="16" w:lineRule="exact"/>
        <w:rPr>
          <w:sz w:val="20"/>
          <w:szCs w:val="20"/>
          <w:color w:val="auto"/>
        </w:rPr>
      </w:pPr>
    </w:p>
    <w:p>
      <w:pPr>
        <w:jc w:val="both"/>
        <w:ind w:firstLine="8"/>
        <w:spacing w:after="0" w:line="244" w:lineRule="auto"/>
        <w:tabs>
          <w:tab w:leader="none" w:pos="2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Charter to extend to the date by which the Company must consummate an initial business combination (the “Extension Amendment Proposal”) from October 13, 2023 to October 13, 2024, by electing to extend the date to consummate an initial business combination on a monthly basis for up to twelve (12) times by an additional one month each time (as extended, the “Extended Date”), unless the closing of an initial business combination has occurred, provided that the Sponsor (or its affiliates or permitted designees) will deposit into the Trust Account for each such one-month extension period the lesser of (x) $150,000 or (y) $0.03 per Public Share that remains outstanding and is not redeemed prior to any such one-month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90" w:name="page91"/>
    <w:bookmarkEnd w:id="90"/>
    <w:p>
      <w:pPr>
        <w:jc w:val="both"/>
        <w:spacing w:after="0" w:line="243" w:lineRule="auto"/>
        <w:rPr>
          <w:sz w:val="20"/>
          <w:szCs w:val="20"/>
          <w:color w:val="auto"/>
        </w:rPr>
      </w:pPr>
      <w:r>
        <w:rPr>
          <w:rFonts w:ascii="Times New Roman" w:cs="Times New Roman" w:eastAsia="Times New Roman" w:hAnsi="Times New Roman"/>
          <w:sz w:val="18"/>
          <w:szCs w:val="18"/>
          <w:color w:val="auto"/>
        </w:rPr>
        <w:t>unless the closing of an initial business combination has occurred, which may be made in exchange for a non-interest bearing promissory note payable upon consummation of an initial business combination, (ii) amend the Charter to permit the issuance of Class A ordinary shares to holders of the Class B ordinary shares, $0.0001 par value per share (the “Class B ordinary shares”), upon the exercise of the right of a holder of the Class B ordinary shares to convert such Class B ordinary shares into Class A ordinary shares on a one-for-one basis, at any time and from time to time, prior to the closing of an initial business combination (the “Founder Share Amendment Proposal”), and (iii) amend the Charter to eliminate the limitation that the Company may not redeem Class A ordinary shares in an amount that would cause the Company’s net tangible assets to be less than $5,000,001 (the “Redemption Limitation Proposal”). At the Meeting, the Public Shareholders approved the Extension Amendment Proposal, the Founder Share Amendment Proposal and the Redemption Limitation Proposal.</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Furthermore, in connection with the Meeting, shareholders holding 13,661,579 Class A ordinary shares exercised their right to redeem such shares for a pro rata portion of the funds in the Trust Account. As a result, approximately $145.2 million (based on a redemption price of approximately $10.63 per share) was removed from the Trust Account to pay such holders.</w:t>
      </w:r>
    </w:p>
    <w:p>
      <w:pPr>
        <w:spacing w:after="0" w:line="2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October 24, 2023, the Company entered into the Business Combination Agreement with Holdco, LCW Merger Sub, Innventure Merger Sub and Innventure, pursuant to which the parties thereto will enter into the Business Combination, pursuant to which, among other things, (i) LCW Merger Sub will merge with and into the Company (the “LCW Merger”), with the Company being the surviving company, and (ii) Innventure Merger Sub will merge with and into Innventure (the “Innventure Merger” and together with the LCW Merger, the “Mergers”), with Innventure being the surviving company. Following the Mergers, each of the Company and Innventure will be a subsidiary of Holdco, and Holdco will become a publicly traded company.</w:t>
      </w:r>
    </w:p>
    <w:p>
      <w:pPr>
        <w:spacing w:after="0" w:line="2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 deferred credit of $587,443 as of September 30, 2024, on its balance sheet which reflects payments received from Innventure for the reimbursement of 50% of certain expenses of the Company by Innventure pursuant to the Business Combination Agreement.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consummation of the proposed Business Combination with Innventure is subject to certain conditions as further described in the Business Combination Agreement.</w:t>
      </w:r>
    </w:p>
    <w:p>
      <w:pPr>
        <w:spacing w:after="0" w:line="20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On August 13, 2024, the Company, acting pursuant to authorization from its board of directors ("Board"), notified the NYSE of its intention to voluntarily withdraw the listing of its Class A ordinary shares, Public Warrants and Units from the NYSE and transfer the listing of its Class A ordinary shares to the Nasdaq Capital Market ("Nasdaq"). The listing and trading of the Company's Class A ordinary shares on the NYSE ended at market close on August 23, 2024, and trading of the Class A ordinary shares commenced on Nasdaq on August 26, 2024. The Common Stock is traded on the Nasdaq under the symbol "LCW." Listing of the Company’s Public Warrants and Units ended at market close on August 30, 2024 and its trading in the over-the-counter market has commenced on September 3, 2024.</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September 12, 2024, the Company announced that $150,000 was deposited into the Trust Account to extend the period of time the Company has to consummate an initial business combination to October 13, 2024. In total the Company has deposited into the Trust Account $1,350,000 and $690,000 of such extension payments for the nine months ended September 30, 2024 and 2023, respectively.</w:t>
      </w:r>
    </w:p>
    <w:p>
      <w:pPr>
        <w:spacing w:after="0" w:line="21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If the Company has not completed an initial business combination by October 13, 2024 and the Company decides not to extend the period of time to consummate an initial business combination, the Company will (i) cease all operations except for the purpose of winding up, (ii) as promptly as reasonably possible but not more than ten business days thereafter, redeem 100% of the Class A ordinary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Class A ordinary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liquidate and dissolve, subject in each case to the Company’s obligations under Cayman Islands law to provide for claims of creditors and the requirements 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91" w:name="page92"/>
    <w:bookmarkEnd w:id="91"/>
    <w:p>
      <w:pPr>
        <w:jc w:val="both"/>
        <w:spacing w:after="0" w:line="266" w:lineRule="auto"/>
        <w:rPr>
          <w:sz w:val="20"/>
          <w:szCs w:val="20"/>
          <w:color w:val="auto"/>
        </w:rPr>
      </w:pPr>
      <w:r>
        <w:rPr>
          <w:rFonts w:ascii="Times New Roman" w:cs="Times New Roman" w:eastAsia="Times New Roman" w:hAnsi="Times New Roman"/>
          <w:sz w:val="18"/>
          <w:szCs w:val="18"/>
          <w:color w:val="auto"/>
        </w:rPr>
        <w:t>applicable law. There will be no redemption rights or liquidating distributions with respect to the Company’s Public Warrants, which will expire worthless if the Company fails to complete an initial business combination by the Extended Date.</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Sponsor has agreed to waive its rights to liquidating distributions from the Trust Account with respect to the Founder Shares it will receive if the Company fails to complete an initial business combination by the Extended Date. However, if the Sponsor or any of its respective affiliates acquire Public Shares, such Public Shares will be entitled to liquidating distributions from the Trust Account if the Company fails to complete an initial business combination by the Extended Date.</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10, 2024, the Company and Innventure issued a press release announcing the effectiveness of a registration statement on Form S-4 by Holdco relating to their previously announced proposed Business Combination.</w:t>
      </w:r>
    </w:p>
    <w:p>
      <w:pPr>
        <w:spacing w:after="0" w:line="20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with Commonwealth Asset Management LP (together with its assignee, “CWAM LP”), pursuant to which Holdco agrees to issue and sell to the CWAM LP an aggregate of 750,000 shares of Holdco’s Series B preferred stock, par value $0.0001 per share, (the “Series B Preferred Shares”) in a private placement, at a price of $10.00 per share of Series B Preferred Shares (the “Series B Preferred Shares Financing”). The Series B Preferred Shares Financing is expected to close concurrently with the consummation of the Business Combination and is expected to provide Holdco with approximately $7,500,000 of gross proceeds before deducting fees and other estimated offering expenses. CWAM LP is an affiliate of the Sponsor. On September 27, 2024, HoldCo entered into an investment agreement, substantially in the same form as the investment agreement entered into with CWAM LP, with certain purchasers (together with CWAM LP, the “Series B Investors”), pursuant to which HoldCo agreed to issue and sell to such purchasers an aggregate of 352,000 shares of Series B Preferred Shares in a private placement, at a price of $10.00 per share of Series B Preferred Shares (together with the financing with CWAM LP, the “Series B Preferred Shares Financing”). Upon the consummation of the Business Combination, Holdco’s authorized capital stock will consist of 250,000,000 shares of common stock, par value $0.0001 per share, and 25,000,000 shares of preferred stock, par value $0.0001 per share. Of the 25,000,000 shares of preferred stock authorized by the Amended and Restated Certificate of Incorporation (the "Amended and Restated Certificate of Incorporation"), the Holdco Board is expected to designate 3,000,000 shares as Series B Preferred Shares on the closing date.</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On September 24, 2024, the Company, Innventure, Holdco, LCW Merger Sub and Innventure Merger Sub also entered into a side letter (the "SSA Side Letter") to the Sponsor Support Agreement (the “Sponsor Support Agreement”) dated October 24, 2023 by and among the Company and the Sponsor. The SSA Side Letter waives and modifies certain provisions within the Sponsor Support Agreement, including (among others): (i) certain financings are to be considered “Additional Financings” (as defined within the Sponsor Support Agreement) under certain circumstances; (ii) the Sponsor may assign all of its rights, title, interest and obligations under the Sponsor Support Agreement to the permitted transferee of its Subject Securities (as defined in the Sponsor Support Agreement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7" w:right="339" w:bottom="1440" w:gutter="0" w:footer="0" w:header="0"/>
        </w:sectPr>
      </w:pPr>
    </w:p>
    <w:bookmarkStart w:id="92" w:name="page93"/>
    <w:bookmarkEnd w:id="92"/>
    <w:p>
      <w:pPr>
        <w:jc w:val="both"/>
        <w:ind w:firstLine="8"/>
        <w:spacing w:after="0" w:line="258" w:lineRule="auto"/>
        <w:tabs>
          <w:tab w:leader="none" w:pos="3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the SSA Side Letter, the VWAP Completion Event (as defined in the Sponsor Support Agreement ) is deemed to have been satisfied in full, without any further action by any person, meaning that there is no longer any lockup on the At Risk Sponsor Shares (as defined in the Sponsor Support Agreement ) received by the Sponsor pursuant to the provisions of the Sponsor Support Agreement.</w:t>
      </w:r>
    </w:p>
    <w:p>
      <w:pPr>
        <w:spacing w:after="0" w:line="19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September 24, 2024, the Company, Innventure, LCW Merger Sub and Innventure Merger Sub entered into a side letter to the Business Combination Agreement (the "BCA Side Letter"). The BCA Side Letter waives and modifies certain provisions within the Business Combination Agreement, including (among others): (i) the Company’s covenants to list its Class A ordinary shares and Public Warrants on the listing exchange; (ii) any breach of Innventure’s covenants resulting from its termination of certain purchase agreements; (iii) the classification of certain cost, fees and expenses as “Parent Transaction Costs” (as defined within the Business Combination Agreement); (iv) any breach of or default under the Business Combination Agreement in respect of certain promissory notes; and (v) required contents of certain pre-closing deliverables relating to payments and share issuances at Closing. The parties subject to the BCA Side Letter also acknowledge and agree (i) that certain financings are to be considered “Additional Financings” (as defined within the Business Combination Agreement) under certain circumstances and (ii) to increase the size of the Learn CW Convertible Promissory Note to $4,800,000. Pursuant to the BCA Side Letter, an accrued interest amount of $277,746 on the Loan and Security Agreement ("Loan and Security Agreement") dated as of December 28, 2023 by and among the Sponsor and the lender parties thereto would be considered a Parent Transaction Cost of the Company. The Sponsor remains responsible for the payment of principal under such Loan and Security Agreement; the Company is not responsible for the payment of principal and is only responsible for the accrued interest on the principal in accordance with the BCA Side Letter. As a Parent Transaction Cost, the accrued interest amount of $277,746 is recognized in Formation costs and other operating expenses on the condensed statements of operations for the three and nine months ended September 30, 2024 and as a payable included within Accounts payable and accrued expenses on the condensed balance sheet as of September 30, 2024.</w:t>
      </w:r>
    </w:p>
    <w:p>
      <w:pPr>
        <w:spacing w:after="0" w:line="21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September 30, 2024, the Company held an extraordinary general meeting in which the Company's shareholders approved the Business Combination of the Company, Innventure, and Holdco, pursuant to the transactions contemplated by the Business Combination Agreement. The meeting aimed to approve various resolutions, including: (i) the adoption of the Business Combination Agreement, dated as of October 24, 2023; (ii) the merger of LCW Merger Sub into the Company; (iii) changes to the corporate governance structure in the proposed Amended and Restated Certificate of Incorporation of Holdco, including to: (a) approve and adopt provisions to authorize 250,000,000 shares of Holdco common stock, par value $0.0001 per share, and 25,000,000 shares of Holdco preferred stock, par value $0.0001 per share, compared to the current 200,000,000 Class A ordinary shares, par value $0.0001 per share, 20,000,000 Class B ordinary shares, par value $0.0001 per share, and 1,000,000 preference shares, par value $0.0001 per share;</w:t>
      </w:r>
    </w:p>
    <w:p>
      <w:pPr>
        <w:spacing w:after="0" w:line="4" w:lineRule="exact"/>
        <w:rPr>
          <w:sz w:val="20"/>
          <w:szCs w:val="20"/>
          <w:color w:val="auto"/>
        </w:rPr>
      </w:pPr>
    </w:p>
    <w:p>
      <w:pPr>
        <w:jc w:val="both"/>
        <w:ind w:firstLine="8"/>
        <w:spacing w:after="0" w:line="241"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the Holdco board the power to adopt, amend, or repeal bylaws, with stockholders also having this power by a two-thirds vote; (c) allow special stockholder meetings to be called only by the Holdco board, chairperson, CEO, or president; (d) require stockholder actions to be taken only at annual or special meetings, not by written consent in lieu of a meeting; (e) set rules for appointing directors to fill vacancies or as additional directors by a majority board vote, and allow director removal only for cause by a two-thirds stockholder vote; and (f) designate the Delaware Court of Chancery as the exclusive forum for certain legal actions, and the U.S. federal district courts for cases under the Securities Act of 1933, unless the Holdco board consents in writing to an alternative forum; (iv) Consider and vote upon a proposal to approve and assume the Innventure, Inc. 2024 Equity and Incentive Compensation Plan and any grants or awards issued under it; and (v) consider and vote upon a proposal to approve, for purposes of complying with Nasdaq listing rules, (a) the issuance of Holdco Common Stock pursuant to the Business Combination Agreement and (b) the potential issuance of Holdco Common Stock upon conversion of the Series A preferred stock, par value $0.0001 per share, to be established at the closing of the Business Combination.</w:t>
      </w:r>
    </w:p>
    <w:p>
      <w:pPr>
        <w:spacing w:after="0" w:line="21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meeting and the Business Combination, shareholders holding 8,310,747 Class A Ordinary Shares exercised their right to redeem such shares for cash at a redemption price of approximately $11.04 per share, for an aggregate redemption amount of $91,720,869.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Going Concern</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cash of $45,346 and $116,234 held outside of the Trust Account, respectively. The Company intends to use substantially all of the funds held in the Trust Account. To the extent that its shares or debt are used, in whole or in part, as consideration to complete its initial business combination, the remaining proceeds held in the Trust Account will be used as working capital to finance the operations of the post-business combination entity, make other acquisitions and pursue the Company’s growth strategies.</w:t>
      </w:r>
    </w:p>
    <w:p>
      <w:pPr>
        <w:spacing w:after="0" w:line="21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May 3, 2022, the Company entered into a promissory note with the Sponsor pursuant to which the Sponsor agreed to loan the Company up to an aggregate amount of $1,050,000 which the Company drew down in full on May 5, 2022. This note is non-interest bearing and is due on the earlier of the day by which the Company must complete an initial business combination, and the effective date of such business combination. On December 29, 2023, the Company and the Sponsor amended and restated the promissory note (the “First Restated Note”), agreeing to amend the principal amount of the loan of up to $2,487,000. On March 19, 2024, the Company and the Sponsor further amended and restated the First Restated Note (the “Second Restated Note”), agreeing to amend the principal amount of the loan of up to $3,050,000. On June 28, 2024, the Company and the Sponsor further amended and restated the Second Restated Note (the “Third Restated Note”), agreeing to amend the principal amount of the loan of up to $3,800,000, which was fully drawn as of such date. On September 18, 2024, the Company and the Sponsor amended and restated the Third Restated Note (the "Fourth Restated Note" and, as may be further amended and restated, the “Note”) agreeing to amend the principal amount of the loan of up to $4,800,000, which may be drawn down by the Company from time to time prior to the earlier of (i) December 13, 2024, and (ii) the date on which the Company consummates an initial business combination. The outstanding balance under this loan amounted to $4,628,000 as of September 30, 2024. Management determined that there was an embedded conversion feature related to the Note that would require bifurcation and be classified as a liability. However, based on a third-party valuation, the amount was determined to be de minimis.</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 Board’s (“FASB”) Accounting Standards Update (“ASU”) 2014-15, “Disclosures of Uncertainties about an Entity’s Ability to Continue as a Going Concern,” the Company has experienced operating losses in current and preceding years. In addition, for the three and nine months ended September 30, 2024, the Company had negative operating cash flows and negative working capital position. The Company is working to secure additional funding through the Business Combination. On October 2, 2024, the Company announced the closing of the previously announced Business Combination. However, the success of the business operations post Business Combination is subject to market conditions, which are not within the Company’s control, and cannot be deemed probable. Accordingly, the Company has concluded that management’s plans to secure additional financing do not alleviate substantial doubt about the Company’s ability to continue as a going concern. These conditions raise substantial doubt about the Company’s ability to continue as a going concern for the next twelve months from the issuance of this filing.</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evaluation of its working capital and liquidity raise substantial doubt about the Company’s ability to continue as a going concern one year from the date that these unaudited condensed financial statements are issued. The condensed consolidated financial statements do not include any adjustments relating to the recoverability and classification of recorded asset amounts or the amount and classification of liabilities that might results from the outcome of this uncertainty.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condensed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18"/>
          <w:szCs w:val="18"/>
          <w:color w:val="auto"/>
        </w:rPr>
        <w:t>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Form 10-K as filed with the SEC on April 4, 2024. The financial information as of December 31, 2023 is derived from the audited financial statements presented in the Company’s Annual Report on Form 10-K for the year ended December 31, 2023. The interim results for the nine months ended September 30, 2024, are not necessarily indicative of the results expected for the year ending December 31, 2024 or for any future periods.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2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cash of $45,346 and $116,234 as of September 30, 2024 and December 31, 2023, respectively, and no cash equivalents as of September 30, 2024 and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Held in Trust Account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2024 and December 31, 2023, all of the assets held in the Trust Account were invested in cash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7" w:right="339" w:bottom="1440" w:gutter="0" w:footer="0" w:header="0"/>
        </w:sectPr>
      </w:pPr>
    </w:p>
    <w:bookmarkStart w:id="95" w:name="page96"/>
    <w:bookmarkEnd w:id="95"/>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Accounting Standards Codification (“ASC”) 740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September 30, 2024. The Company is currently not aware of any issues under review that could result in significant payments, accruals or material deviation from its position.</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Subject to Possible Redemption</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accounts for its shares subject to possible redemption in accordance with the guidance in ASC 480 (“ASC 480”), “Distinguishing Liabilities from Equity.” Shares subject to mandatory redemption (if any) are classified as a liability instrument and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shares are classified as shareholders’ equity. The Company’s shares feature certain redemption rights that are considered to be outside of the Company’s control and subject to occurrence of uncertain future events. Accordingly, at September 30, 2024 and December 31, 2023, shares subject to possible redemption are presented as temporary equity, outside of the shareholders’ deficit section of the Company’s balance sheet.</w:t>
      </w:r>
    </w:p>
    <w:p>
      <w:pPr>
        <w:spacing w:after="0" w:line="2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Class A ordinary shares subject to possible redemption reflected on the balance sheets are reconciled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December 31, 2022</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235,578,275</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w:t>
            </w: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(145,222,585)</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(249,339)</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9,948,542</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December 31, 2023</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100,054,892</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(91,720,869)</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5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3,007,816</w:t>
            </w: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September 30, 2024</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11,341,839</w:t>
            </w:r>
          </w:p>
        </w:tc>
      </w:tr>
      <w:tr>
        <w:trPr>
          <w:trHeight w:val="21"/>
        </w:trPr>
        <w:tc>
          <w:tcPr>
            <w:tcW w:w="9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September 30, 2024, the Company held an extraordinary general meeting in which the Company's shareholders approved the Business Combination of the Company, Innventure, and Holdco, pursuant to the transactions contemplated by the Business Combination Agreement. In connection with the meeting and the Business Combination, shareholders holding 8,310,747 Class A Ordinary Shares exercised their right to redeem such shares for cash at a redemption price of approximately $11.04 per share, for an aggregate redemption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96" w:name="page97"/>
    <w:bookmarkEnd w:id="96"/>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of $91,720,869, which is recorded as a shareholder redemption payable on the Company's condensed balance sheet as of September 30, 2024. On October 3, 2024, the Company paid such shareholders the aggregate amount of $91,720,869 for the redemption from the assets held as cash investments in the Trust Account.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Costs</w:t>
      </w: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Offering costs consisted of legal, accounting, and other expenses incurred through the balance sheet date that were directly related to the Initial Public Offering. The Company complies with the requirements of the ASC 340-10-S99-1 and SEC Staff Accounting Bulletin (“SAB”) Topic 5A— “Expenses of Offering.” Offering costs consist principally of professional and registration fees incurred through the balance sheet date that are related to the Initial Public Offering. Offering costs are charged to shareholders’ equity or the statement of operations based on the relative value of the Public Warrants and the Private Placement Warrants to the proceeds received from the Units sold upon the completion of the Initial Public Offering. Accordingly, on December 31, 2021, offering costs totaling $13,157,186 (consisting of $2,446,000 of underwriting fee, $9,780,500 of deferred underwriting fee and $930,686 of other offering costs) were recognized with $781,595 included in the statements of operations as an allocation for the Public Warrants and the Private Placement Warrants. No offering costs were incurred for the three and nine months ended September 30,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4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“Distinguishing Liabilities from Equity,” and ASC 815 (“ASC 815”), “Derivatives and Hedging.”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model (see Note 10).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Ordinary Shar</w:t>
      </w:r>
      <w:r>
        <w:rPr>
          <w:rFonts w:ascii="Times New Roman" w:cs="Times New Roman" w:eastAsia="Times New Roman" w:hAnsi="Times New Roman"/>
          <w:sz w:val="18"/>
          <w:szCs w:val="18"/>
          <w:color w:val="auto"/>
        </w:rPr>
        <w:t>e</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ASC 260, “Earnings Per Share.” The Company has two classes of shares, which are referred to as Class A ordinary shares and Class B ordinary shares. Income is shared pro rata between the two classes of ordinary shares. Net income per share is computed by dividing net income by the weighted average number of ordinary shares outstanding for the period. Accretion associated with the redeemable Class A ordinary shares is excluded from earnings per share as the redemption value approximates fair value. The calculation of diluted income per ordinary share does not consider the effect of the warrants issued in connection with the Initial Public Offering, as well as warrants potentially issuable upon conversion of the Note, since the exercise of such warrants are contingent upon the occurrence of future events and the inclusion of such warrants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A reconciliation of net (loss)/income per ordinary share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60" w:type="dxa"/>
            <w:vAlign w:val="bottom"/>
          </w:tcPr>
          <w:p>
            <w:pPr>
              <w:spacing w:after="0"/>
              <w:rPr>
                <w:sz w:val="16"/>
                <w:szCs w:val="16"/>
                <w:color w:val="auto"/>
              </w:rPr>
            </w:pPr>
          </w:p>
        </w:tc>
        <w:tc>
          <w:tcPr>
            <w:tcW w:w="21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6"/>
                <w:szCs w:val="16"/>
                <w:color w:val="auto"/>
              </w:rPr>
            </w:pPr>
          </w:p>
        </w:tc>
        <w:tc>
          <w:tcPr>
            <w:tcW w:w="20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03"/>
        </w:trPr>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7"/>
                <w:szCs w:val="17"/>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7"/>
                <w:szCs w:val="17"/>
                <w:color w:val="auto"/>
              </w:rPr>
            </w:pPr>
          </w:p>
        </w:tc>
        <w:tc>
          <w:tcPr>
            <w:tcW w:w="21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60" w:type="dxa"/>
            <w:vAlign w:val="bottom"/>
          </w:tcPr>
          <w:p>
            <w:pPr>
              <w:spacing w:after="0"/>
              <w:rPr>
                <w:sz w:val="17"/>
                <w:szCs w:val="17"/>
                <w:color w:val="auto"/>
              </w:rPr>
            </w:pPr>
          </w:p>
        </w:tc>
        <w:tc>
          <w:tcPr>
            <w:tcW w:w="206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9"/>
        </w:trPr>
        <w:tc>
          <w:tcPr>
            <w:tcW w:w="18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126"/>
        </w:trPr>
        <w:tc>
          <w:tcPr>
            <w:tcW w:w="18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Basic and diluted net</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148"/>
        </w:trPr>
        <w:tc>
          <w:tcPr>
            <w:tcW w:w="1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income/(loss) per ordinary</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7"/>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39"/>
        </w:trPr>
        <w:tc>
          <w:tcPr>
            <w:tcW w:w="18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Allocation of net</w:t>
            </w:r>
          </w:p>
        </w:tc>
        <w:tc>
          <w:tcPr>
            <w:tcW w:w="1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145,280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28"/>
              <w:spacing w:after="0" w:line="13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89,454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(2,772,389)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(1,707,059)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1,836,174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28"/>
              <w:spacing w:after="0" w:line="13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459,043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5,822,882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1,455,721</w:t>
            </w:r>
          </w:p>
        </w:tc>
      </w:tr>
      <w:tr>
        <w:trPr>
          <w:trHeight w:val="198"/>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as adjusted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6"/>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45"/>
        </w:trPr>
        <w:tc>
          <w:tcPr>
            <w:tcW w:w="1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Basic and diluted weighted</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9,338,421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5,750,000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9,338,421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5,750,000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23,000,000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5,750,000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23,000,000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5,750,000</w:t>
            </w:r>
          </w:p>
        </w:tc>
      </w:tr>
      <w:tr>
        <w:trPr>
          <w:trHeight w:val="198"/>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shares outstanding</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r>
      <w:tr>
        <w:trPr>
          <w:trHeight w:val="129"/>
        </w:trPr>
        <w:tc>
          <w:tcPr>
            <w:tcW w:w="18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Basic and diluted net</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1"/>
                <w:szCs w:val="11"/>
                <w:color w:val="auto"/>
              </w:rPr>
            </w:pPr>
          </w:p>
        </w:tc>
        <w:tc>
          <w:tcPr>
            <w:tcW w:w="200" w:type="dxa"/>
            <w:vAlign w:val="bottom"/>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0.08</w:t>
            </w:r>
          </w:p>
        </w:tc>
        <w:tc>
          <w:tcPr>
            <w:tcW w:w="80" w:type="dxa"/>
            <w:vAlign w:val="bottom"/>
          </w:tcPr>
          <w:p>
            <w:pPr>
              <w:spacing w:after="0"/>
              <w:rPr>
                <w:sz w:val="11"/>
                <w:szCs w:val="11"/>
                <w:color w:val="auto"/>
              </w:rPr>
            </w:pPr>
          </w:p>
        </w:tc>
        <w:tc>
          <w:tcPr>
            <w:tcW w:w="200" w:type="dxa"/>
            <w:vAlign w:val="bottom"/>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1"/>
                <w:szCs w:val="11"/>
                <w:color w:val="auto"/>
              </w:rPr>
            </w:pPr>
          </w:p>
        </w:tc>
        <w:tc>
          <w:tcPr>
            <w:tcW w:w="160" w:type="dxa"/>
            <w:vAlign w:val="bottom"/>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1"/>
                <w:szCs w:val="11"/>
                <w:color w:val="auto"/>
              </w:rPr>
            </w:pPr>
          </w:p>
        </w:tc>
        <w:tc>
          <w:tcPr>
            <w:tcW w:w="180" w:type="dxa"/>
            <w:vAlign w:val="bottom"/>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0.25</w:t>
            </w:r>
          </w:p>
        </w:tc>
      </w:tr>
      <w:tr>
        <w:trPr>
          <w:trHeight w:val="155"/>
        </w:trPr>
        <w:tc>
          <w:tcPr>
            <w:tcW w:w="1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income/(loss) per ordinary</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-3175</wp:posOffset>
            </wp:positionV>
            <wp:extent cx="5906135"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3">
                      <a:extLst>
                        <a:ext uri="{28A0092B-C50C-407E-A947-70E740481C1C}"/>
                      </a:extLst>
                    </a:blip>
                    <a:srcRect/>
                    <a:stretch>
                      <a:fillRect/>
                    </a:stretch>
                  </pic:blipFill>
                  <pic:spPr bwMode="auto">
                    <a:xfrm>
                      <a:off x="0" y="0"/>
                      <a:ext cx="5906135" cy="342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condensed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2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account for the conversion features in the Note under ASC 815. However, if a conversion feature meets the criteria of the scope exception, then it will not be bifurcated.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August 2020, the FASB issued ASU 2020-06 (“ASU 2020-06”), Debt — Debt with Conversion and Other Options (Subtopic 470-20) and Derivatives and Hedging — Contracts in Entity’s Own Equity (Subtopic 815-40)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if-convened method for all convertible instruments. The Company adopted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standard on January 1, 2024. The adoption of this standard did not have a significant impact to the Company’s financial statements.</w:t>
      </w:r>
    </w:p>
    <w:p>
      <w:pPr>
        <w:spacing w:after="0" w:line="2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does not believe there are any other recently issued, but not yet effective, accounting pronouncements, if currently adopted, that would have a material effect on the Company’s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24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Pursuant to the Initial Public Offering on October 13, 2021, the Company sold 23,000,000 Units, including 3,000,000 Units as a result of the underwriter’s exercise of their over-allotment option in full, at a purchase price of $10.00 per Unit. Each Unit consists of one Class A ordinary share, and one-half of one Public Warrant. Each Public Warrant entitles the holder to purchase one Class A ordinary share at an exercise price of $11.50 per whole share (see Note 7).</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7,146,000 Private Placement Warrants at a price of $1.00 per Private Placement Warrant, for an aggregate purchase price of $7,146,000, in a private placement. Each Private Placement Warrant is identical to the Public Warrants, except there will be no redemption rights or liquidating distributions from the trust account with respect to Private Placement Warrants, which will expire worthless if the Company does not consummate an initial business combination by the Extended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February 2, 2021, in consideration for the payment of certain of the Company’s offering costs, the Company applied $25,000 of outstanding advances from the Sponsor towards the issuance of 7,187,000 Class B ordinary shares. On August 20, 2021, and September 9, 2021, the Sponsor effected a surrender of 1,287,000 Class B ordinary shares and 150,000 Class B ordinary shares, respectively, to the Company for no consideration, resulting in a decrease in the total number of Class B ordinary shares outstanding from 7,187,000 to 5,750,000. All shares and associated amounts have been retroactively restated to reflect the share surrender. The initial shareholders agreed to forfeit up to 750,000 Founder Shares to the extent the over-allotment was not exercised in full by the underwriter. In May 2021, the Sponsor transferred 30,000 Founder Shares to each of the Company’s independent directors at the same price originally paid for such shares. On October 13, 2021, the underwriter exercised the full over-allotment option.</w:t>
      </w:r>
    </w:p>
    <w:p>
      <w:pPr>
        <w:spacing w:after="0" w:line="20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Sponsor has agreed not to transfer, assign or sell any of its Founder Shares until the earlier to occur of: (A) one year after the completion of an initial business combination or (B) the date on which the Company completes a liquidation, merger, capital stock exchange or similar transaction that results in the Company’s shareholders having the right to exchange their ordinary shares for cash, securities or other property. Notwithstanding the foregoing, if the last sale price of the Class A ordinary shares equals or exceeds $12.00 per share (as adjusted for stock splits, stock dividends, reorganizations, recapitalizations and the like) for any 20 trading days within any 30-trading day period commencing at least 150 days after an initial business combination, the Founder Shares will be released from the lock-up.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initial business combination, the Sponsor, an affiliate of the Sponsor, or the Company’s officers and directors may, but are not obligated to, loan the Company funds as may be required (the “Working Capital Loans”). Such Working Capital Loans would be evidenced by promissory notes. The notes would either be repaid upon consummation of an initial business combination, without interest, or, at the lender’s discretion, up to $1,500,000 of notes may be converted upon consummation of an initial business combination into warrants at a price of $1.00 per warrant. The warrants will be identical to the Private Placement Warrants. In the event that a business combination does not close, the Company may use a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99" w:name="page100"/>
    <w:bookmarkEnd w:id="9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proceeds held outside the Trust Account to repay the Working Capital Loans but no proceeds held in the Trust Account would be used to repay the Working Capital Loans.</w:t>
      </w:r>
    </w:p>
    <w:p>
      <w:pPr>
        <w:spacing w:after="0" w:line="20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May 3, 2022, the Company entered into a promissory note with the Sponsor pursuant to which the Sponsor agreed to loan the Company up to an aggregate amount of $1,050,000 which the Company drew down in full on May 5, 2022. This note is non-interest bearing and is due on the earlier of the day by which the Company must complete an initial business combination, and the effective date of such business combination. On December 29, 2023, the Company and the Sponsor entered into the First Restated Note, agreeing to amend the principal amount of the loan of up to $2,487,000. On March 19, 2024, the Company and the Sponsor entered into the Second Restated Note, agreeing to amend the principal amount of the loan of up to $3,050,000. On June 28, 2024, the Company and the Sponsor entered into the Third Restated Note, agreeing to amend the principal amount of the loan of up to $3,800,000, which was fully drawn as of such date. Further, on September 18, 2024, the Company and the Sponsor entered into the Fourth Restated Note, agreeing to amend the principal amount of the loan of up to $4,800,000, which may be drawn down by the Company from time to time prior to the earlier of (i) December 13, 2024, and (ii) the date on which the Company consummates an initial business combination. The outstanding balance under this loan</w:t>
      </w:r>
    </w:p>
    <w:p>
      <w:pPr>
        <w:spacing w:after="0" w:line="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amounted to $4,628,000 as of September 30, 2024, and $2,439,000 as of December 31, 2023. Management determined that there was an embedded conversion feature related to the Note that would require bifurcation and be classified as a liability. However, based on a third-party valuation, the amount was determined to be de minimis.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BCA Side Letter</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Pursuant to the BCA Side Letter, an accrued interest amount of $277,746 on the Loan and Security Agreement dated as of December 28, 2023 by and among the Sponsor and the lender parties thereto would be considered a Parent Transaction Cost of the Company. The Sponsor remains responsible for the payment of principal under such Loan and Security Agreement; the Company is not responsible for the payment of principal and is only responsible for the accrued interest on the principal in accordance with the BCA Side Letter. As a Parent Transaction Cost, the accrued interest amount of $277,746 is recognized in Formation costs and other operating expenses on the condensed statements of operations for the three and nine months ended September 30, 2024 and as a payable included within Accounts payable and accrued expenses on the condensed balance sheet as of September 30, 2024. See Note 1 for additional information regarding the BCA Side Letter.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Shareholders Rights</w:t>
      </w:r>
    </w:p>
    <w:p>
      <w:pPr>
        <w:spacing w:after="0" w:line="24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any warrants that may be issued upon conversion of the Working Capital Loans (and in each case holders of their component securities, as applicable) will be entitled to registration rights pursuant to a registration rights agreement signed simultaneously with the offering (October 13, 2021), requiring the Company to register such securities for resale (in the case of the Founder Shares, only after conversion to the Class A ordinary shares).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consummation of an initial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underwriter was entitled to a deferred fee of $0.35 per Unit, or $7,780,500 in the aggregate, and a discretionary deferred fee of $2,000,000. The deferred fee would have become payable to the underwriter from the amounts held in the Trust Account solely in the event that the Company completed an initial business combination, subject to the terms of the underwriting agreement. Even though the services the underwriter owed the Company for such deferred compensation had already been provided in full in connection with the Initial Public Offering, on September 1, 2023, the underwriter gratuitously waived its entitlement to the deferred compensation.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8"/>
          <w:szCs w:val="18"/>
          <w:color w:val="auto"/>
        </w:rPr>
        <w:t>underwriter was not provided, and will not be provided, any consideration in exchange for its waiver of their entitlement to the payment of the deferred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Warrant Liabilities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accounted for the 18,646,000 warrants issued in connection with the Initial Public Offering in accordance with the guidance contained in ASC 815-40. Such guidance provides that, because the warrants do not meet the criteria for equity treatment thereunder, each warrant must be recorded as a liability. Accordingly, the Company has classified each warrant as a liability at its fair value. This liability is subject to re-measurement at each balance sheet date. With each such remeasurement, the warrant liabilities will be adjusted to fair value, with the change in fair value recognized in the Company’s statement of operations. The warrants are also subject to re-evaluation of the proper classification and accounting treatment at each reporting period. If the classification changes as a result of events during the period, the warrants will be reclassified as of the date of the event that causes the reclassification.</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offered warrants in connection with its sale of Units. Each whole warrant that is part of the Units sold in the Offering is exercisable to purchase one Class A ordinary share, subject to adjustment as provided in the Initial Public Offering prospectus, and only whole warrants are exercisable. No fractional warrants will be issued upon separation of the Units and only whole warrants will trade. If, upon separation of the Units, a holder of warrants would be entitled to receive a fractional warrant, the Company will round down to the nearest whole number of warrants to be issued to such holder.</w:t>
      </w: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an initial business combination, it will use its best efforts to file with the SEC a registration statement registering the issuance, under the Securities Act, of the Class A ordinary shares issuable upon exercise of the Public Warrants. The Company will use its best efforts to file with the SEC a registration statement covering the Class A ordinary shares issuable upon exercise of the warrants, to cause such registration statement to become effective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21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 Once the warrants become exercisable, the Company may redeem the outstanding warrants:</w:t>
      </w:r>
    </w:p>
    <w:p>
      <w:pPr>
        <w:spacing w:after="0" w:line="203"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ind w:left="320" w:hanging="312"/>
        <w:spacing w:after="0" w:line="234"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jc w:val="both"/>
        <w:ind w:left="340" w:hanging="332"/>
        <w:spacing w:after="0" w:line="246"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ordinary shares equals or exceeds $18.00 per share (as adjusted for stock splits, stock dividends, reorganizations, recapitalizations and the like) for any 20 trading days within a 30-trading day period ending three business days before the Company sends the notice of redemption to the warrant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101" w:name="page102"/>
    <w:bookmarkEnd w:id="101"/>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 Once the warrants become exercisable, the Company may redeem the outstanding warrants:</w:t>
      </w:r>
    </w:p>
    <w:p>
      <w:pPr>
        <w:spacing w:after="0" w:line="203"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ind w:left="340" w:right="20" w:hanging="332"/>
        <w:spacing w:after="0" w:line="241"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30-trading day period ending three trading days before the Company sends the notice of redemption to the warrant holders; and</w:t>
      </w:r>
    </w:p>
    <w:p>
      <w:pPr>
        <w:spacing w:after="0" w:line="1"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and when the Public Warrants become redeemable by the Company, the Company may not exercise its redemption right if the issuance of ordinary shares upon exercise of the warrants is not exempt from registration or qualification under applicable state blue sky laws or the Company is unable to effect such registration or qualification.</w:t>
      </w:r>
    </w:p>
    <w:p>
      <w:pPr>
        <w:spacing w:after="0" w:line="21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exercise price and number of Class A ordinary shares issuable upon exercise of the warrants may be adjusted in certain circumstances including in the event of a share dividend, or recapitalization, reorganization, merger or consolidation. Additionally, in no event will the Company be required to net cash settle the Public Warrants. If the Company is unable to complete an initial business combination by the Extended Date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 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stock dividend, extraordinary dividend or recapitalization, reorganization, merger or consolidation. If the Company is unable to complete an initial business combination by the Extended Date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7"/>
          <w:szCs w:val="17"/>
          <w:color w:val="auto"/>
        </w:rPr>
        <w:t>In addition, if (x) the Company issues additional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Company’s initial business combination on the date of the consummation of such initial business combination (net of redemptions), and (z) the volume weighted average trading price of the Company’s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greater of the Market Value and the Newly Issued Price.</w:t>
      </w:r>
    </w:p>
    <w:p>
      <w:pPr>
        <w:spacing w:after="0" w:line="2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The Private Placement Warrants are identical to the Public Warrants included in the Units sold in the Initial Public Offering, except that the Private Placement Warrants will and the ordinary shares issuable upon the exercise of the Private Placement Warrants will not be transferable, assignable or salable until 30 days after the completion of an initial business combination, subject to certain limited exceptions. Additionally,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7"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18"/>
          <w:szCs w:val="18"/>
          <w:color w:val="auto"/>
        </w:rPr>
        <w:t>will be exercisable on a cashless basis and will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2024, there were 11,500,000 Public Warrants and 7,146,000 Private Placement Warrants outstanding with a fair value of $977,500 and $607,410, respectively. At December 31, 2023, there were 11,500,000 Public Warrants and 7,146,000 Private Placement Warrants outstanding with a fair value of $230,000 and $142,920, respectively.</w:t>
      </w:r>
    </w:p>
    <w:p>
      <w:pPr>
        <w:spacing w:after="0" w:line="19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Company accounts for the 11,500,000 Public Warrants issued in connection with the Initial Public Offering and the 7,146,000 Private Placement Warrants in accordance with the guidance contained in ASC 815-40. Such guidance provides that because the warrants do not meet the criteria for equity treatment thereunder, each warrant must be recorded as a derivative liability. The warrant agreement contains an Alternative Issuance provision that if less than 70% of the consideration receivable by the holders of the Class A ordinary shares in an initial business combination is payable in the form of ordinary equity in the successor entity, and if the holders of the warrants properly exercises the warrants within thirty days following the public disclosure of the consummation of such business combination by the Company, the warrant price shall be reduced by an amount equal to the difference (but in no event less than zero) of (i) the warrant price in effect prior to such reduction minus (ii) (A) the Per Share Consideration (as defined below) minus (B) the Black-Scholes Warrant Value (as defined below). The “Black-Scholes Warrant Value” means the value of a Warrant immediately prior to the consummation of such business combination based on the Black-Scholes Warrant Model for a Capped American Call on Bloomberg Financial Markets. “Per Share Consideration” means (i) if the consideration paid to holders of the ordinary share consists exclusively of cash, the amount of such cash per ordinary share, and (ii) in all other cases, the volume weighted average price of the ordinary share as reported during the ten-trading day period ending on the trading day prior to the effective date of such business combination.</w:t>
      </w:r>
    </w:p>
    <w:p>
      <w:pPr>
        <w:spacing w:after="0" w:line="21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Company believes that the adjustments to the exercise price of the warrants is based on a variable that is not an input to the fair value of a “fixed-for-fixed” option as defined under ASC 815-40 and, thus, the warrants are not eligible for an exception from derivative accounting. The accounting treatment of derivative financial instruments requires that the Company record a derivative liability upon the closing of the Initial Public Offering. Accordingly, the Company will classify each warrant as a liability at its fair value and the warrants will be allocated a portion of the proceeds from the issuance of the Units equal to its fair value determined by the Monte Carlo simulation. This liability is subject to re-measurement at each balance sheet date. With each such remeasurement, the warrant liabilities will be adjusted to fair value, with the change in fair value recognized in the Company’s statements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Class A Ordinary Shares Subject to Possible Redemption</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200,000,000 Class A ordinary shares with a par value $0.0001 per share. Holders of the Company’s Class A ordinary shares are entitled to one vote for each share.</w:t>
      </w:r>
    </w:p>
    <w:p>
      <w:pPr>
        <w:spacing w:after="0" w:line="19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On October 11, 2023, the Public Shareholders of the Company held the Meeting to approve the Extension Amendment Proposal, the Founder Share Amendment Proposal, and the Redemption Limitation Proposal. At the Meeting, the Public Shareholders approved each of the Extension Amendment Proposal, the Founder Share Amendment Proposal, and the Redemption Limitation Proposal. In connection with the Meeting, shareholders holding 13,661,579 Class A ordinary shares (after giving effect to withdrawals of redemptions) exercised their right to redeem such shares for a pro rata portion of the funds in the Company’s Trust Account. As a result, approximately $145.2 million (approximately $10.63 per share) was removed from the Trust Account to pay such holders. Following these redemptions, the Company had 9,338,421 Class A ordinary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7" w:right="339" w:bottom="1440" w:gutter="0" w:footer="0" w:header="0"/>
        </w:sectPr>
      </w:pPr>
    </w:p>
    <w:bookmarkStart w:id="103" w:name="page104"/>
    <w:bookmarkEnd w:id="10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redemptions, the Company recorded shareholder redemption payable for additional interest earned by redeeming holders of Class A ordinary shares that exercised their redemption rights in the amount of $249,339, which equates to approximately $0.018 per Class A ordinary share. During the three months ended June 30, 2024, the Company remitted the additional interest to such redeeming holders of Class A ordinary shares.</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September 30, 2024, the Company held an extraordinary general meeting in which the Company's shareholders approved the Business Combination of the Company, Innventure, and Holdco, pursuant to the transactions contemplated by the Business Combination Agreement. In connection with the meeting and the Business Combination, shareholders holding 8,310,747 Class A Ordinary Shares exercised their right to redeem such shares for cash at a redemption price of approximately $11.04 per share, for an aggregate redemption amount of $91,720,869.</w:t>
      </w:r>
    </w:p>
    <w:p>
      <w:pPr>
        <w:spacing w:after="0" w:line="2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respectively, there were 1,027,674 and 9,338,421 Class A ordinary shares outstanding which were subject to possible redemption and are classified outside of permanent equity in the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Deficit</w:t>
      </w:r>
    </w:p>
    <w:p>
      <w:pPr>
        <w:spacing w:after="0" w:line="23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Preference Shares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authorized to issue 1,000,000 preference shares with a par value of $0.0001 per share. At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and December 31, 2023, there were no preference shares issued or outstanding, respectively.</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Class A Ordinary Shares —</w:t>
      </w:r>
      <w:r>
        <w:rPr>
          <w:rFonts w:ascii="Times New Roman" w:cs="Times New Roman" w:eastAsia="Times New Roman" w:hAnsi="Times New Roman"/>
          <w:sz w:val="18"/>
          <w:szCs w:val="18"/>
          <w:color w:val="auto"/>
        </w:rPr>
        <w:t> The Company is authorized to issue 200,000,000 Class A ordinary shares,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A ordinary shares are entitled to one vote for each share. At September 30, 2024 and December 31, 2023, there were zero Class A ordinary shares issued or outstanding (excluding the 1,027,674 and 9,338,421 Class A ordinary shares subject to possible redemption, respectively).</w:t>
      </w:r>
    </w:p>
    <w:p>
      <w:pPr>
        <w:spacing w:after="0" w:line="1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Class B Ordinary Shares —</w:t>
      </w:r>
      <w:r>
        <w:rPr>
          <w:rFonts w:ascii="Times New Roman" w:cs="Times New Roman" w:eastAsia="Times New Roman" w:hAnsi="Times New Roman"/>
          <w:sz w:val="18"/>
          <w:szCs w:val="18"/>
          <w:color w:val="auto"/>
        </w:rPr>
        <w:t> The Company is authorized to issue 20,000,000 Class B ordinary shares,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Class B ordinary shares are entitled to one vote for each share. At September 30, 2024 and December 31, 2023, there were 5,750,000 Class B ordinary shares issued and outstanding, respectively.</w:t>
      </w:r>
    </w:p>
    <w:p>
      <w:pPr>
        <w:spacing w:after="0" w:line="19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an initial business combination on a one-for-one basis, subject to adjustment for stock splits, stock dividends, reorganizations, recapitalizations and the like. In the case that additional Class A ordinary shares, or equity linked securities, are issued or deemed issued in excess of the amounts offered in the Initial Public Offering and related to the closing of such business combination, the ratio at which Class B ordinary shares shall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on an as converted basis, 20% of the sum of the total number of all ordinary shares outstanding upon the completion of the Initial Public Offering plus all Class A ordinary shares and equity linked securities issued or deemed issued in connection with such business combination (excluding any shares or equity linked securities issued, or to be issued, to any seller in the business combination, and any private placement-equivalent warrants issued to the Sponsor or its affiliates upon conversion of loans made to the Company). Holders of Founder Shares may also elect to convert their Class B ordinary shares into an equal number of Class A ordinary shares, subject to adjustment as provided above, at any time.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issue additional ordinary shares or preference shares to complete its initial business combination or under an employee incentive plan after completion of its initial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104" w:name="page105"/>
    <w:bookmarkEnd w:id="104"/>
    <w:p>
      <w:pPr>
        <w:spacing w:after="0" w:line="266" w:lineRule="auto"/>
        <w:rPr>
          <w:sz w:val="20"/>
          <w:szCs w:val="20"/>
          <w:color w:val="auto"/>
        </w:rPr>
      </w:pPr>
      <w:r>
        <w:rPr>
          <w:rFonts w:ascii="Times New Roman" w:cs="Times New Roman" w:eastAsia="Times New Roman" w:hAnsi="Times New Roman"/>
          <w:sz w:val="18"/>
          <w:szCs w:val="18"/>
          <w:color w:val="auto"/>
        </w:rPr>
        <w:t>unadjusted quoted prices in active markets for identical assets or liabilities (Level 1 measurements) and the lowest priority to unobservable inputs (Level 3 measurements). These tiers include:</w:t>
      </w:r>
    </w:p>
    <w:p>
      <w:pPr>
        <w:spacing w:after="0" w:line="203"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23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2"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indicates the fair value hierarchy of the valuation inputs the Company utilized to determine such fair value: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Pr>
          <w:p>
            <w:pPr>
              <w:spacing w:after="0"/>
              <w:rPr>
                <w:sz w:val="20"/>
                <w:szCs w:val="20"/>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70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103,062,708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103,062,708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977,500</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977,500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607,410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607,410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977,500</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607,410</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1,584,910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indicates the fair value hierarchy of the valuation inputs the Company utilized to determine such fair value: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Pr>
          <w:p>
            <w:pPr>
              <w:spacing w:after="0"/>
              <w:rPr>
                <w:sz w:val="20"/>
                <w:szCs w:val="20"/>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70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100,304,232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100,304,232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372,920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warrants are accounted for as liabilities in accordance with ASC 815-40 and are presented within warrant liabilities on the balance sheets. The warrant liabilities are measured at fair value at inception and on a recurring basis, with changes in fair value presented within change in fair value of warrant liabilities in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Initial Measurement</w:t>
      </w: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Company established the initial fair value for the Public Warrants and the Private Placement Warrants on October 13, 2021, the date of the Company’s Initial Public Offering, using a Monte Carlo simulation model. The Company allocated the proceeds received from (i) the sale of Units (which is inclusive of one Class A ordinary share and one-half of one Public Warrant), and (ii) the sale of Private Placement Warrants, first to the warrants based on their fair values as determined at initial measurement, with the remaining proceeds allocated to Class A ordinary shares subject to possible redemption based on their relative fair values at the initial measurement date. The Public Warrants and the Private Placement Warrants were classified as Level 3 at the initial measurement date due to the use of unobservable inputs. For periods subsequent to the detachment of the Public Warrants from the Units, which occurred on November 29, 2021, the Public Warrants were valued using the instrument’s publicly listed trading price on the Nasdaq as of the balance sheet date, which is considered to be a Level 1 measurement due to the use of an observable market quote in an active market.</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key inputs into the Monte Carlo simulation model for the Private Placement Warrants were as follows on September 30, 2024 and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80" w:type="dxa"/>
            <w:vAlign w:val="bottom"/>
          </w:tcPr>
          <w:p>
            <w:pPr>
              <w:spacing w:after="0"/>
              <w:rPr>
                <w:sz w:val="21"/>
                <w:szCs w:val="2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9"/>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10.84</w:t>
            </w: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4"/>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r>
    </w:tbl>
    <w:p>
      <w:pPr>
        <w:spacing w:after="0" w:line="3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Warrants were valued using a Monte Carlo Simulation Model, which is considered to be a Level 3 fair value measurement. The model’s primary unobservable input utilized in determining the fair value of the Warrants is the expected volatility as of the closing of the Initial Public Offering, which was derived from observable warrant pricing on comparable ‘blank-check’ companies without an identified target. The expected volatility as of subsequent valuation dates was implied from the Company’s own Public Warrant pricing.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Level 3 warrant liabilities:</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3"/>
        </w:trPr>
        <w:tc>
          <w:tcPr>
            <w:tcW w:w="9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Private Warrants</w:t>
            </w: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r>
      <w:tr>
        <w:trPr>
          <w:trHeight w:val="230"/>
        </w:trPr>
        <w:tc>
          <w:tcPr>
            <w:tcW w:w="93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fair value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214,380</w:t>
            </w:r>
          </w:p>
        </w:tc>
      </w:tr>
      <w:tr>
        <w:trPr>
          <w:trHeight w:val="223"/>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March 31, 2024</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357,300</w:t>
            </w:r>
          </w:p>
        </w:tc>
      </w:tr>
      <w:tr>
        <w:trPr>
          <w:trHeight w:val="230"/>
        </w:trPr>
        <w:tc>
          <w:tcPr>
            <w:tcW w:w="93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fair value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714,600</w:t>
            </w:r>
          </w:p>
        </w:tc>
      </w:tr>
      <w:tr>
        <w:trPr>
          <w:trHeight w:val="223"/>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June 30, 2024</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1,071,900</w:t>
            </w:r>
          </w:p>
        </w:tc>
      </w:tr>
      <w:tr>
        <w:trPr>
          <w:trHeight w:val="230"/>
        </w:trPr>
        <w:tc>
          <w:tcPr>
            <w:tcW w:w="93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fair value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(464,490)</w:t>
            </w:r>
          </w:p>
        </w:tc>
      </w:tr>
      <w:tr>
        <w:trPr>
          <w:trHeight w:val="248"/>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September 30, 2024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607,410</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Changes in the fair value of the warrant liabilities are included in the statement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Option Liability</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liability for the conversion option was valued using a Black-Scholes Option Pricing Model, which is considered to be a Level 3 fair value measurement. The Black Scholes model’s primary unobservable input utilized in determining the fair value of the conversion option is the expected volatility of the ordinary shares. During the nine months ended September 30, 2024 and 2023, there were no changes in the fair value of the conversion option liability. As of September 30, 2024 and December 31, 2023, the fair value of the conversion feature was de minimis.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106" w:name="page107"/>
    <w:bookmarkEnd w:id="106"/>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of the Company evaluated subsequent events and transactions that occurred after the balance sheet date up to the date that the unaudited condensed financial statements were available to be issued. Based upon this review, the Company did not identify any subsequent events that would have required adjustment or disclosure in the financial statements, other than as disclosed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Business Combination closed ("Closing") on October 2, 2024 (the "Closing Date"), on which date LCW Merger Sub merged with and into the Company with the Company being the surviving company. As a result of the LCW Merger (a) each Class A ordinary share and Class B ordinary share issued and outstanding immediately prior to Closing was converted into the right to receive one share of Holdco common stock, par value $0.0001 ("Common Stock"), and (b) each Public Warrant and Private Placement Warrant outstanding immediately prior to Closing was assumed by Holdco and converted into a Holdco warrant ("Warrant").</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on the Closing Date, Innventure Merger Sub (a subsidiary of Holdco) merged with and into Innventure LLC with Innventure LLC being the surviving company. As a result of the Innventure Merger, (a) the Innventure LLC equity units (other than the Innventure LLC Class PCTA units ("PCTA Units") and Class I units ("Class I Units")) issued and outstanding immediately prior to Closing were converted into the right to receive the shares of Holdco common stock, (b) the Class PCTA Units and the Class I Units remained outstanding and (c) the Innventure LLC's Class B preferred warrants were cancelled for shares of Holdco common stock.</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Closing, each of the Company and Innventure are subsidiaries of Holdco, and Holdco changed its name to "Innventure, Inc." and became a publicly traded company. The Holdco's shares of Common Stock began trading on Nasdaq under the symbol “INV” on October 3, 2024. While the Company intended for the Warrants to trade on Nasdaq, and expected them to, ultimately there was not a sufficient number of holders to meet the applicable Nasdaq requirements. Each Warrant entitles the holder to purchase one share of Common Stock at a price of $11.50 per share. The Warrants will become exercisable on November 1, 2024 and will expire on October 2, 2029 or earlier upon redemption or liquidation. The public units of the Company automatically separated into the component securities upon consummation of the Business Combination and, as a result, no longer trade as a separate security.</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Business Combination was preliminarily accounted for as a reverse recapitalization in accordance with GAAP, and under this method of accounting, the Company was treated as the acquired company for financial reporting purposes and Innventure LLC was treated as the accounting acquirer.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consideration for the Innventure Merger (the “Merger Consideration”) paid to the Innventure Members (as defined in the definitive proxy statement filed with the SEC on September 10, 2024 by the Company) consisted of 43,490,268 shares of Common Stock. A portion of this Merger Consideration will be delivered to Innventure Members in the form of a contingent right to receive up to 5,000,000 shares of Common Stock (the “Company Earnout Shares”), which shares were subject to the following milestone conditions (collectively, the “Milestone Conditions”):</w:t>
      </w:r>
    </w:p>
    <w:p>
      <w:pPr>
        <w:spacing w:after="0" w:line="207" w:lineRule="exact"/>
        <w:rPr>
          <w:sz w:val="20"/>
          <w:szCs w:val="20"/>
          <w:color w:val="auto"/>
        </w:rPr>
      </w:pPr>
    </w:p>
    <w:p>
      <w:pPr>
        <w:jc w:val="both"/>
        <w:ind w:left="660" w:hanging="328"/>
        <w:spacing w:after="0" w:line="257"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Accelsius, Inc. having entered into binding contracts providing for revenue for the Company Group (as defined in the Business Combination Agreement) within seven years following the Closing (the “Vesting Period”) in excess of $15,000,000 in revenue;</w:t>
      </w:r>
    </w:p>
    <w:p>
      <w:pPr>
        <w:spacing w:after="0" w:line="1" w:lineRule="exact"/>
        <w:rPr>
          <w:rFonts w:ascii="Times New Roman" w:cs="Times New Roman" w:eastAsia="Times New Roman" w:hAnsi="Times New Roman"/>
          <w:sz w:val="18"/>
          <w:szCs w:val="18"/>
          <w:color w:val="auto"/>
        </w:rPr>
      </w:pPr>
    </w:p>
    <w:p>
      <w:pPr>
        <w:ind w:left="660" w:hanging="328"/>
        <w:spacing w:after="0" w:line="265" w:lineRule="auto"/>
        <w:tabs>
          <w:tab w:leader="none" w:pos="65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 of the Company Earnout Shares will be issuable upon Holdco’s formation of a new subsidiary, in partnership with a Multi-National Company (as defined in the Business Combination Agreement), as determined using the Holdco's “DownSelect” process, within the Vesting Period; and</w:t>
      </w:r>
    </w:p>
    <w:p>
      <w:pPr>
        <w:ind w:left="660" w:right="20" w:hanging="328"/>
        <w:spacing w:after="0" w:line="26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Company Earnout Shares will be issuable upon AeroFlexx, LLC having received in excess of $15,000,000 revenue within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(including as a result of the conversions described above), there were 44,602,673 shares of Common Stock and 18,646,000 Warrants issued and outstanding. As of the Closing, the Innventure Members owned approximately 86.3% of the Holdco’s outstanding shares of Common Stock, and the former shareholders of the Company (including the Sponsor and the Company's independent directors) owned approximately 13.7% of the Holdco’s outstanding shares of Common Stock.</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As indicated in Note 1, on September 30, 2024, the Company held an extraordinary general meeting in which the Company's shareholders approved the Business Combination of the Company, Innventure, and Holdco, pursuant to the transactions contemplated by the Business Combination Agreement. As a result, effective on the Closing Date, 250,000,000 shares of Holdco common stock, par value $0.0001 per share, were authorized and 25,000,000 shares of Holdco preferred stock, par value $0.0001 per share, were authorized. Of the 25,000,000 shares of preferred stock authorized by the Amended and Restated Certificate of Incorporation, the Holdco Board has designated 3,000,000 shares as Series B Preferred Shares.</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indicated in Note 1, on September 30, 2024, shareholders holding 8,310,747 Class A ordinary shares exercised their right to redeem such shares for cash at a redemption price of approximately $11.04 per share, for an aggregate redemption amount of $91,720,869. On October 3, 2024, the Company paid such shareholders the aggregate amount of $91,720,869 for the redemption from the assets held as cash investments in the Trust Account.</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Closing Date, Holdco settled obligations of the Company including (a) outstanding accounts payable and accrued expenses totaling $9,232,920 and (b) the outstanding amount of the promissory note due to Sponsor (as described in Note 5) totaling $4,628,000. Additionally, Holdco settled obligations of Innventure LLC including transaction-related items of $6,492,954 as part of closing. In total, Holdco paid $20,353,874 to settle these obligations using cash from the Trust Account and financing secured through Series B Preferred Shares, which is discussed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closing of the Series B Preferred Shares Financing took place on the Closing Date, on which date Holdco issued a total of 1,102,000 Series B Preferred Shares to the Series B Investors at a purchase price of $10.00 per share (the “Original Issue Price”) for a total amount of $11,020,000.</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Series B Preferred Shares will convert into Common Stock on the fifth anniversary of the issue date, or owners can choose to convert before this date. The conversion rate (“Conversion Rate”) will equal a fraction whose numerator is the Original Issue Price and whose denominator is the lesser of</w:t>
      </w:r>
    </w:p>
    <w:p>
      <w:pPr>
        <w:spacing w:after="0" w:line="1" w:lineRule="exact"/>
        <w:rPr>
          <w:sz w:val="20"/>
          <w:szCs w:val="20"/>
          <w:color w:val="auto"/>
        </w:rPr>
      </w:pPr>
    </w:p>
    <w:p>
      <w:pPr>
        <w:ind w:right="20" w:firstLine="8"/>
        <w:spacing w:after="0" w:line="243" w:lineRule="auto"/>
        <w:tabs>
          <w:tab w:leader="none" w:pos="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Reset Conversion Price or (ii) $12.50, where the “Reset Conversion Price” means the greater of (a) $5.00 and (b) the 10-trading day volume-weighted average closing price of the common stock of Holdco.</w:t>
      </w:r>
    </w:p>
    <w:p>
      <w:pPr>
        <w:spacing w:after="0" w:line="19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Regarding the ranking of liquidation, with respect to payment of dividends, the Series B Preferred Shares shall rank senior in priority of payment to all junior stock ("Junior Stock") and parity stock ("Parity Stock") in any liquidation, dissolution, winding up or distribution of Holdco, and junior to any existing or future secured or unsecured indebtedness and other liabilities (including trade payables) of Holdco. With respect to (a) distribution of assets and</w:t>
      </w:r>
    </w:p>
    <w:p>
      <w:pPr>
        <w:spacing w:after="0" w:line="1" w:lineRule="exact"/>
        <w:rPr>
          <w:sz w:val="20"/>
          <w:szCs w:val="20"/>
          <w:color w:val="auto"/>
        </w:rPr>
      </w:pPr>
    </w:p>
    <w:p>
      <w:pPr>
        <w:jc w:val="both"/>
        <w:ind w:firstLine="8"/>
        <w:spacing w:after="0" w:line="239" w:lineRule="auto"/>
        <w:tabs>
          <w:tab w:leader="none" w:pos="2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liquidation, winding up, dissolution, dividend and redemption rights, the Series B Preferred Shares shall rank pari passu in priority of payment to all Parity Stock and senior in priority of payment to all Junior Stock in any liquidation, dissolution, winding up or distribution of Holdco, and junior to any existing or future secured or unsecured indebtedness and other liabilities (including trade payables) of Holdco.</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Series B Preferred Shares ("Holders") can vote along with holders of Common Stock, but their voting power cannot exceed 19.99% of the total outstanding voting power. Each Holder shall be entitled to cast the number of votes per each whole shares of Series B Preferred Share held by such Holder as of the record date for determining stockholders entitled to vote on such matter.</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Dividends for Series B Preferred Shares will accrue annually at 8.0% of the liquidation preference, defined as, with respect to a Holder, the Original Issue Price multiplied by the number of preferred units held by the Holder. All dividends are prior to and in preference over any dividend on any Junior Stock or Parity Stock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108" w:name="page109"/>
    <w:bookmarkEnd w:id="108"/>
    <w:p>
      <w:pPr>
        <w:jc w:val="both"/>
        <w:spacing w:after="0" w:line="258" w:lineRule="auto"/>
        <w:rPr>
          <w:sz w:val="20"/>
          <w:szCs w:val="20"/>
          <w:color w:val="auto"/>
        </w:rPr>
      </w:pPr>
      <w:r>
        <w:rPr>
          <w:rFonts w:ascii="Times New Roman" w:cs="Times New Roman" w:eastAsia="Times New Roman" w:hAnsi="Times New Roman"/>
          <w:sz w:val="18"/>
          <w:szCs w:val="18"/>
          <w:color w:val="auto"/>
        </w:rPr>
        <w:t>declared and fully paid before any dividends are declared and paid, or any other distributions are made, on any Junior Stock or Parity Stock. Dividends will be due and payable annually in arrears as payment in kind on each the last day of the last quarter in each fiscal year of Holdco. Holders are also eligible to receive dividends declared on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Letter"/>
      <w:start w:val="25"/>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lvl w:ilvl="1">
      <w:lvlJc w:val="left"/>
      <w:lvlText w:val="(%2)"/>
      <w:numFmt w:val="lowerLetter"/>
      <w:start w:val="1"/>
    </w:lvl>
  </w:abstractNum>
  <w:abstractNum w:abstractNumId="32">
    <w:nsid w:val="2463B9EA"/>
    <w:multiLevelType w:val="hybridMultilevel"/>
    <w:lvl w:ilvl="0">
      <w:lvlJc w:val="left"/>
      <w:lvlText w:val="%1."/>
      <w:numFmt w:val="decimal"/>
      <w:start w:val="1"/>
    </w:lvl>
    <w:lvl w:ilvl="1">
      <w:lvlJc w:val="left"/>
      <w:lvlText w:val="(%2)"/>
      <w:numFmt w:val="lowerLetter"/>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Roman"/>
      <w:start w:val="1"/>
    </w:lvl>
  </w:abstractNum>
  <w:abstractNum w:abstractNumId="36">
    <w:nsid w:val="580BD78F"/>
    <w:multiLevelType w:val="hybridMultilevel"/>
    <w:lvl w:ilvl="0">
      <w:lvlJc w:val="left"/>
      <w:lvlText w:val="(%1)"/>
      <w:numFmt w:val="lowerRoman"/>
      <w:start w:val="3"/>
    </w:lvl>
  </w:abstractNum>
  <w:abstractNum w:abstractNumId="37">
    <w:nsid w:val="153EA438"/>
    <w:multiLevelType w:val="hybridMultilevel"/>
    <w:lvl w:ilvl="0">
      <w:lvlJc w:val="left"/>
      <w:lvlText w:val="(%1)"/>
      <w:numFmt w:val="lowerLetter"/>
      <w:start w:val="2"/>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8" Type="http://schemas.openxmlformats.org/officeDocument/2006/relationships/image" Target="media/image95.png"/><Relationship Id="rId134" Type="http://schemas.openxmlformats.org/officeDocument/2006/relationships/image" Target="media/image96.png"/><Relationship Id="rId151" Type="http://schemas.openxmlformats.org/officeDocument/2006/relationships/image" Target="media/image97.png"/><Relationship Id="rId165" Type="http://schemas.openxmlformats.org/officeDocument/2006/relationships/image" Target="media/image98.png"/><Relationship Id="rId175" Type="http://schemas.openxmlformats.org/officeDocument/2006/relationships/image" Target="media/image99.png"/><Relationship Id="rId176" Type="http://schemas.openxmlformats.org/officeDocument/2006/relationships/image" Target="media/image100.png"/><Relationship Id="rId177" Type="http://schemas.openxmlformats.org/officeDocument/2006/relationships/image" Target="media/image101.png"/><Relationship Id="rId178" Type="http://schemas.openxmlformats.org/officeDocument/2006/relationships/image" Target="media/image102.png"/><Relationship Id="rId179" Type="http://schemas.openxmlformats.org/officeDocument/2006/relationships/image" Target="media/image103.png"/><Relationship Id="rId180" Type="http://schemas.openxmlformats.org/officeDocument/2006/relationships/image" Target="media/image104.png"/><Relationship Id="rId181" Type="http://schemas.openxmlformats.org/officeDocument/2006/relationships/image" Target="media/image105.png"/><Relationship Id="rId182" Type="http://schemas.openxmlformats.org/officeDocument/2006/relationships/image" Target="media/image106.png"/><Relationship Id="rId183" Type="http://schemas.openxmlformats.org/officeDocument/2006/relationships/image" Target="media/image107.png"/><Relationship Id="rId102" Type="http://schemas.openxmlformats.org/officeDocument/2006/relationships/hyperlink" Target="https://www.sec.gov/Archives/edgar/data/2001557/000114036124040480/ny20012992x29_s4a.htm#tANNEXA" TargetMode="External"/><Relationship Id="rId103" Type="http://schemas.openxmlformats.org/officeDocument/2006/relationships/hyperlink" Target="https://www.sec.gov/Archives/edgar/data/2001557/000114036124043179/ef20036737_ex3-1.htm" TargetMode="External"/><Relationship Id="rId104" Type="http://schemas.openxmlformats.org/officeDocument/2006/relationships/hyperlink" Target="https://www.sec.gov/Archives/edgar/data/2001557/000114036124043179/ef20036737_ex3-2.htm" TargetMode="External"/><Relationship Id="rId105" Type="http://schemas.openxmlformats.org/officeDocument/2006/relationships/hyperlink" Target="https://www.sec.gov/Archives/edgar/data/2001557/000114036124043179/ef20036737_ex3-3.htm" TargetMode="External"/><Relationship Id="rId106" Type="http://schemas.openxmlformats.org/officeDocument/2006/relationships/hyperlink" Target="https://www.sec.gov/Archives/edgar/data/2001557/000114036124025505/ny20012992x12_ex4-3.htm" TargetMode="External"/><Relationship Id="rId107" Type="http://schemas.openxmlformats.org/officeDocument/2006/relationships/hyperlink" Target="https://www.sec.gov/Archives/edgar/data/2001557/000114036124025505/ny20012992x12_ex4-4.htm" TargetMode="External"/><Relationship Id="rId108" Type="http://schemas.openxmlformats.org/officeDocument/2006/relationships/hyperlink" Target="https://www.sec.gov/Archives/edgar/data/2001557/000114036124025505/ny20012992x12_ex4-5.htm" TargetMode="External"/><Relationship Id="rId109" Type="http://schemas.openxmlformats.org/officeDocument/2006/relationships/hyperlink" Target="https://www.sec.gov/Archives/edgar/data/2001557/000114036124025505/ny20012992x12_ex4-6.htm" TargetMode="External"/><Relationship Id="rId110" Type="http://schemas.openxmlformats.org/officeDocument/2006/relationships/hyperlink" Target="https://www.sec.gov/Archives/edgar/data/2001557/000114036124025505/ny20012992x12_ex4-7.htm" TargetMode="External"/><Relationship Id="rId111" Type="http://schemas.openxmlformats.org/officeDocument/2006/relationships/hyperlink" Target="https://www.sec.gov/Archives/edgar/data/2001557/000114036124025505/ny20012992x12_ex4-8.htm" TargetMode="External"/><Relationship Id="rId112" Type="http://schemas.openxmlformats.org/officeDocument/2006/relationships/hyperlink" Target="https://www.sec.gov/Archives/edgar/data/2001557/000114036124044030/ef20037576_ex4-1.htm" TargetMode="External"/><Relationship Id="rId113" Type="http://schemas.openxmlformats.org/officeDocument/2006/relationships/hyperlink" Target="https://www.sec.gov/Archives/edgar/data/2001557/000114036124044030/ef20037576_ex4-2.htm" TargetMode="External"/><Relationship Id="rId114" Type="http://schemas.openxmlformats.org/officeDocument/2006/relationships/hyperlink" Target="https://www.sec.gov/Archives/edgar/data/1847577/000114036121034554/nt10022269x10_ex10-3.htm" TargetMode="External"/><Relationship Id="rId115" Type="http://schemas.openxmlformats.org/officeDocument/2006/relationships/hyperlink" Target="https://www.sec.gov/Archives/edgar/data/1847577/000114036121034554/nt10022269x10_ex10-4.htm" TargetMode="External"/><Relationship Id="rId116" Type="http://schemas.openxmlformats.org/officeDocument/2006/relationships/hyperlink" Target="https://www.sec.gov/Archives/edgar/data/2001557/000114036124040480/ny20012992x29_s4a.htm#tANNEXH" TargetMode="External"/><Relationship Id="rId117" Type="http://schemas.openxmlformats.org/officeDocument/2006/relationships/hyperlink" Target="https://www.sec.gov/Archives/edgar/data/2001557/000114036124040480/ny20012992x29_s4a.htm#tANNEXC" TargetMode="External"/><Relationship Id="rId119" Type="http://schemas.openxmlformats.org/officeDocument/2006/relationships/hyperlink" Target="https://www.sec.gov/Archives/edgar/data/2001557/000114036124040480/ny20012992x29_s4a.htm#tANNEXD" TargetMode="External"/><Relationship Id="rId120" Type="http://schemas.openxmlformats.org/officeDocument/2006/relationships/hyperlink" Target="https://www.sec.gov/Archives/edgar/data/2001557/000114036124004075/ny20012992x3_ex10-6.htm" TargetMode="External"/><Relationship Id="rId121" Type="http://schemas.openxmlformats.org/officeDocument/2006/relationships/hyperlink" Target="https://www.sec.gov/Archives/edgar/data/2001557/000114036124004075/ny20012992x3_ex10-7.htm" TargetMode="External"/><Relationship Id="rId122" Type="http://schemas.openxmlformats.org/officeDocument/2006/relationships/hyperlink" Target="https://www.sec.gov/Archives/edgar/data/2001557/000114036124004075/ny20012992x3_ex10-8.htm" TargetMode="External"/><Relationship Id="rId123" Type="http://schemas.openxmlformats.org/officeDocument/2006/relationships/hyperlink" Target="https://www.sec.gov/Archives/edgar/data/2001557/000114036124004075/ny20012992x3_ex10-9.htm" TargetMode="External"/><Relationship Id="rId124" Type="http://schemas.openxmlformats.org/officeDocument/2006/relationships/hyperlink" Target="https://www.sec.gov/Archives/edgar/data/2001557/000114036124004075/ny20012992x3_ex10-10.htm" TargetMode="External"/><Relationship Id="rId125" Type="http://schemas.openxmlformats.org/officeDocument/2006/relationships/hyperlink" Target="https://www.sec.gov/Archives/edgar/data/2001557/000114036124004075/ny20012992x3_ex10-11.htm" TargetMode="External"/><Relationship Id="rId126" Type="http://schemas.openxmlformats.org/officeDocument/2006/relationships/hyperlink" Target="https://www.sec.gov/Archives/edgar/data/2001557/000114036124004075/ny20012992x3_ex10-12.htm" TargetMode="External"/><Relationship Id="rId127" Type="http://schemas.openxmlformats.org/officeDocument/2006/relationships/hyperlink" Target="https://www.sec.gov/Archives/edgar/data/2001557/000114036124004075/ny20012992x3_ex10-13.htm" TargetMode="External"/><Relationship Id="rId128" Type="http://schemas.openxmlformats.org/officeDocument/2006/relationships/hyperlink" Target="https://www.sec.gov/Archives/edgar/data/2001557/000114036124004075/ny20012992x3_ex10-14.htm" TargetMode="External"/><Relationship Id="rId129" Type="http://schemas.openxmlformats.org/officeDocument/2006/relationships/hyperlink" Target="https://www.sec.gov/Archives/edgar/data/2001557/000114036124004075/ny20012992x3_ex10-15.htm" TargetMode="External"/><Relationship Id="rId130" Type="http://schemas.openxmlformats.org/officeDocument/2006/relationships/hyperlink" Target="https://www.sec.gov/Archives/edgar/data/2001557/000114036124019672/ny20012992x7_ex10-16.htm" TargetMode="External"/><Relationship Id="rId131" Type="http://schemas.openxmlformats.org/officeDocument/2006/relationships/hyperlink" Target="https://www.sec.gov/Archives/edgar/data/2001557/000114036124004075/ny20012992x3_ex10-17.htm" TargetMode="External"/><Relationship Id="rId132" Type="http://schemas.openxmlformats.org/officeDocument/2006/relationships/hyperlink" Target="https://www.sec.gov/Archives/edgar/data/2001557/000114036124033924/ny20012992x19_ex10-18.htm" TargetMode="External"/><Relationship Id="rId133" Type="http://schemas.openxmlformats.org/officeDocument/2006/relationships/hyperlink" Target="https://www.sec.gov/Archives/edgar/data/2001557/000114036124004075/ny20012992x3_ex10-19.htm" TargetMode="External"/><Relationship Id="rId135" Type="http://schemas.openxmlformats.org/officeDocument/2006/relationships/hyperlink" Target="https://www.sec.gov/Archives/edgar/data/1847577/000114036121034554/nt10022269x10_ex10-1.htm" TargetMode="External"/><Relationship Id="rId136" Type="http://schemas.openxmlformats.org/officeDocument/2006/relationships/hyperlink" Target="https://www.sec.gov/Archives/edgar/data/1847577/000114036121031541/nt10022269x4_ex10-2.htm" TargetMode="External"/><Relationship Id="rId137" Type="http://schemas.openxmlformats.org/officeDocument/2006/relationships/hyperlink" Target="https://www.sec.gov/Archives/edgar/data/2001557/000114036124019672/ny20012992x7_ex10-23.htm" TargetMode="External"/><Relationship Id="rId138" Type="http://schemas.openxmlformats.org/officeDocument/2006/relationships/hyperlink" Target="https://www.sec.gov/Archives/edgar/data/2001557/000114036124019672/ny20012992x7_ex10-24.htm" TargetMode="External"/><Relationship Id="rId139" Type="http://schemas.openxmlformats.org/officeDocument/2006/relationships/hyperlink" Target="https://www.sec.gov/Archives/edgar/data/2001557/000114036124019672/ny20012992x7_ex10-25.htm" TargetMode="External"/><Relationship Id="rId140" Type="http://schemas.openxmlformats.org/officeDocument/2006/relationships/hyperlink" Target="https://www.sec.gov/Archives/edgar/data/2001557/000114036124019672/ny20012992x7_ex10-26.htm" TargetMode="External"/><Relationship Id="rId141" Type="http://schemas.openxmlformats.org/officeDocument/2006/relationships/hyperlink" Target="https://www.sec.gov/Archives/edgar/data/2001557/000114036124025505/ny20012992x12_ex10-27.htm" TargetMode="External"/><Relationship Id="rId142" Type="http://schemas.openxmlformats.org/officeDocument/2006/relationships/hyperlink" Target="https://www.sec.gov/Archives/edgar/data/2001557/000114036124019672/ny20012992x7_ex10-28.htm" TargetMode="External"/><Relationship Id="rId143" Type="http://schemas.openxmlformats.org/officeDocument/2006/relationships/hyperlink" Target="https://www.sec.gov/Archives/edgar/data/1847577/000114036124000451/ef20017927_ex10-1.htm" TargetMode="External"/><Relationship Id="rId144" Type="http://schemas.openxmlformats.org/officeDocument/2006/relationships/hyperlink" Target="https://www.sec.gov/Archives/edgar/data/1847577/000114036124015028/ef20025004_ex10-1.htm" TargetMode="External"/><Relationship Id="rId145" Type="http://schemas.openxmlformats.org/officeDocument/2006/relationships/hyperlink" Target="https://www.sec.gov/Archives/edgar/data/2001557/000114036124030557/ny20012992x17_ex10-31.htm" TargetMode="External"/><Relationship Id="rId146" Type="http://schemas.openxmlformats.org/officeDocument/2006/relationships/hyperlink" Target="https://www.sec.gov/Archives/edgar/data/2001557/000114036124033924/ny20012992x19_ex10-32.htm" TargetMode="External"/><Relationship Id="rId147" Type="http://schemas.openxmlformats.org/officeDocument/2006/relationships/hyperlink" Target="https://www.sec.gov/Archives/edgar/data/2001557/000114036124033924/ny20012992x19_ex10-33.htm" TargetMode="External"/><Relationship Id="rId148" Type="http://schemas.openxmlformats.org/officeDocument/2006/relationships/hyperlink" Target="https://www.sec.gov/Archives/edgar/data/2001557/000114036124030557/ny20012992x17_ex10-34.htm" TargetMode="External"/><Relationship Id="rId149" Type="http://schemas.openxmlformats.org/officeDocument/2006/relationships/hyperlink" Target="https://www.sec.gov/Archives/edgar/data/2001557/000114036124004075/ny20012992x3_ex10-28.htm" TargetMode="External"/><Relationship Id="rId150" Type="http://schemas.openxmlformats.org/officeDocument/2006/relationships/hyperlink" Target="https://www.sec.gov/Archives/edgar/data/1847577/000114036124023759/ny20012992x11_ex10-1.htm" TargetMode="External"/><Relationship Id="rId152" Type="http://schemas.openxmlformats.org/officeDocument/2006/relationships/hyperlink" Target="https://www.sec.gov/Archives/edgar/data/2001557/000114036124030557/ny20012992x17_ex10-37.htm" TargetMode="External"/><Relationship Id="rId153" Type="http://schemas.openxmlformats.org/officeDocument/2006/relationships/hyperlink" Target="https://www.sec.gov/Archives/edgar/data/2001557/000114036124030557/ny20012992x17_ex10-38.htm" TargetMode="External"/><Relationship Id="rId154" Type="http://schemas.openxmlformats.org/officeDocument/2006/relationships/hyperlink" Target="https://www.sec.gov/Archives/edgar/data/2001557/000114036124030557/ny20012992x17_ex10-39.htm" TargetMode="External"/><Relationship Id="rId155" Type="http://schemas.openxmlformats.org/officeDocument/2006/relationships/hyperlink" Target="https://www.sec.gov/Archives/edgar/data/2001557/000114036124036468/ny20012992x21_ex10-41.htm" TargetMode="External"/><Relationship Id="rId156" Type="http://schemas.openxmlformats.org/officeDocument/2006/relationships/hyperlink" Target="https://www.sec.gov/Archives/edgar/data/2001557/000114036124036468/ny20012992x21_ex10-42.htm" TargetMode="External"/><Relationship Id="rId157" Type="http://schemas.openxmlformats.org/officeDocument/2006/relationships/hyperlink" Target="https://www.sec.gov/Archives/edgar/data/2001557/000114036124039013/ny20012992x24_ex10-43.htm" TargetMode="External"/><Relationship Id="rId158" Type="http://schemas.openxmlformats.org/officeDocument/2006/relationships/hyperlink" Target="https://www.sec.gov/Archives/edgar/data/2001557/000114036124039013/ny20012992x24_ex10-44.htm" TargetMode="External"/><Relationship Id="rId159" Type="http://schemas.openxmlformats.org/officeDocument/2006/relationships/hyperlink" Target="https://www.sec.gov/Archives/edgar/data/1847577/000114036124037848/ef20030484_ex10-1.htm" TargetMode="External"/><Relationship Id="rId160" Type="http://schemas.openxmlformats.org/officeDocument/2006/relationships/hyperlink" Target="https://www.sec.gov/Archives/edgar/data/2001557/000114036124039013/ny20012992x24_ex10-46.htm" TargetMode="External"/><Relationship Id="rId161" Type="http://schemas.openxmlformats.org/officeDocument/2006/relationships/hyperlink" Target="https://www.sec.gov/Archives/edgar/data/1847577/000114036121034554/nt10022269x10_ex4-1.htm" TargetMode="External"/><Relationship Id="rId162" Type="http://schemas.openxmlformats.org/officeDocument/2006/relationships/hyperlink" Target="https://www.sec.gov/Archives/edgar/data/2001557/000114036124043179/ef20036737_ex10-2.htm" TargetMode="External"/><Relationship Id="rId163" Type="http://schemas.openxmlformats.org/officeDocument/2006/relationships/hyperlink" Target="https://www.sec.gov/Archives/edgar/data/2001557/000114036124043179/ef20036737_ex10-3.htm" TargetMode="External"/><Relationship Id="rId164" Type="http://schemas.openxmlformats.org/officeDocument/2006/relationships/hyperlink" Target="https://www.sec.gov/Archives/edgar/data/2001557/000114036124043179/ef20036737_ex10-4.htm" TargetMode="External"/><Relationship Id="rId166" Type="http://schemas.openxmlformats.org/officeDocument/2006/relationships/hyperlink" Target="https://www.sec.gov/Archives/edgar/data/2001557/000114036124043179/ef20036737_ex10-7.htm" TargetMode="External"/><Relationship Id="rId167" Type="http://schemas.openxmlformats.org/officeDocument/2006/relationships/hyperlink" Target="https://www.sec.gov/Archives/edgar/data/2001557/000114036124040480/ny20012992x29_s4a.htm#tANNEXK" TargetMode="External"/><Relationship Id="rId168" Type="http://schemas.openxmlformats.org/officeDocument/2006/relationships/hyperlink" Target="https://www.sec.gov/Archives/edgar/data/2001557/000114036124043179/ef20036737_ex10-9.htm" TargetMode="External"/><Relationship Id="rId169" Type="http://schemas.openxmlformats.org/officeDocument/2006/relationships/hyperlink" Target="https://www.sec.gov/Archives/edgar/data/2001557/000114036124043179/ef20036737_ex10-10.htm" TargetMode="External"/><Relationship Id="rId170" Type="http://schemas.openxmlformats.org/officeDocument/2006/relationships/hyperlink" Target="https://www.sec.gov/Archives/edgar/data/2001557/000114036124043179/ef20036737_ex10-11.htm" TargetMode="External"/><Relationship Id="rId171" Type="http://schemas.openxmlformats.org/officeDocument/2006/relationships/hyperlink" Target="https://www.sec.gov/Archives/edgar/data/2001557/000114036124043179/ef20036737_ex10-12.htm" TargetMode="External"/><Relationship Id="rId172" Type="http://schemas.openxmlformats.org/officeDocument/2006/relationships/hyperlink" Target="https://www.sec.gov/Archives/edgar/data/2001557/000114036124044030/ef20037576_ex10-1.htm" TargetMode="External"/><Relationship Id="rId173" Type="http://schemas.openxmlformats.org/officeDocument/2006/relationships/hyperlink" Target="https://www.sec.gov/Archives/edgar/data/2001557/000114036124044030/ef20037576_ex10-2.htm" TargetMode="External"/><Relationship Id="rId174" Type="http://schemas.openxmlformats.org/officeDocument/2006/relationships/hyperlink" Target="https://www.sec.gov/Archives/edgar/data/2001557/000162828024044820/exhibit211-resale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2024-11-14T12:54:14Z</dcterms:created>
  <dcterms:modified xsi:type="dcterms:W3CDTF">2024-11-14T12:54:14Z</dcterms:modified>
</cp:coreProperties>
</file>