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001-42303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80"/>
        <w:ind w:left="0" w:right="0" w:firstLine="36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6584" w:type="dxa"/>
        <w:jc w:val="left"/>
        <w:tblInd w:w="0" w:type="dxa"/>
        <w:tblLayout w:type="fixed"/>
        <w:tblCellMar>
          <w:top w:w="28" w:type="dxa"/>
          <w:left w:w="28" w:type="dxa"/>
          <w:bottom w:w="28" w:type="dxa"/>
          <w:right w:w="28" w:type="dxa"/>
        </w:tblCellMar>
      </w:tblPr>
      <w:tblGrid>
        <w:gridCol w:w="1285"/>
        <w:gridCol w:w="1129"/>
        <w:gridCol w:w="1141"/>
        <w:gridCol w:w="884"/>
        <w:gridCol w:w="884"/>
        <w:gridCol w:w="1261"/>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Orlando, Florida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32827</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(321) 209-6787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ind w:left="0" w:right="0" w:firstLine="3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5620" w:type="dxa"/>
        <w:jc w:val="left"/>
        <w:tblInd w:w="0" w:type="dxa"/>
        <w:tblLayout w:type="fixed"/>
        <w:tblCellMar>
          <w:top w:w="28" w:type="dxa"/>
          <w:left w:w="28" w:type="dxa"/>
          <w:bottom w:w="28" w:type="dxa"/>
          <w:right w:w="28" w:type="dxa"/>
        </w:tblCellMar>
      </w:tblPr>
      <w:tblGrid>
        <w:gridCol w:w="695"/>
        <w:gridCol w:w="611"/>
        <w:gridCol w:w="613"/>
        <w:gridCol w:w="170"/>
        <w:gridCol w:w="170"/>
        <w:gridCol w:w="170"/>
        <w:gridCol w:w="109"/>
        <w:gridCol w:w="109"/>
        <w:gridCol w:w="109"/>
        <w:gridCol w:w="769"/>
        <w:gridCol w:w="769"/>
        <w:gridCol w:w="772"/>
        <w:gridCol w:w="162"/>
        <w:gridCol w:w="162"/>
        <w:gridCol w:w="23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11, 2026, the registrant had 84,044,748 shares of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53" w:type="dxa"/>
        <w:jc w:val="left"/>
        <w:tblInd w:w="0" w:type="dxa"/>
        <w:tblLayout w:type="fixed"/>
        <w:tblCellMar>
          <w:top w:w="28" w:type="dxa"/>
          <w:left w:w="28" w:type="dxa"/>
          <w:bottom w:w="28" w:type="dxa"/>
          <w:right w:w="28" w:type="dxa"/>
        </w:tblCellMar>
      </w:tblPr>
      <w:tblGrid>
        <w:gridCol w:w="500"/>
        <w:gridCol w:w="439"/>
        <w:gridCol w:w="439"/>
        <w:gridCol w:w="2448"/>
        <w:gridCol w:w="2448"/>
        <w:gridCol w:w="2469"/>
        <w:gridCol w:w="236"/>
        <w:gridCol w:w="236"/>
        <w:gridCol w:w="33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65" w:after="20"/>
              <w:jc w:val="center"/>
              <w:rPr/>
            </w:pPr>
            <w:r>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810" w:type="dxa"/>
            <w:gridSpan w:val="3"/>
            <w:tcBorders>
              <w:top w:val="single" w:sz="4" w:space="0" w:color="000000"/>
            </w:tcBorders>
            <w:tcMar>
              <w:left w:w="0" w:type="dxa"/>
              <w:bottom w:w="0" w:type="dxa"/>
              <w:right w:w="0" w:type="dxa"/>
            </w:tcMar>
            <w:vAlign w:val="center"/>
          </w:tcPr>
          <w:p>
            <w:pPr>
              <w:pStyle w:val="TableContents"/>
              <w:bidi w:val="0"/>
              <w:spacing w:before="55" w:after="20"/>
              <w:jc w:val="left"/>
              <w:rPr/>
            </w:pPr>
            <w:r>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54">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Financial Statements (Unaudited)</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6">
              <w:r>
                <w:rPr>
                  <w:rStyle w:val="InternetLink"/>
                  <w:rFonts w:ascii="Times New Roman;serif" w:hAnsi="Times New Roman;serif"/>
                  <w:b w:val="false"/>
                  <w:strike w:val="false"/>
                  <w:dstrike w:val="false"/>
                  <w:color w:val="000000"/>
                  <w:sz w:val="20"/>
                  <w:u w:val="none"/>
                  <w:effect w:val="none"/>
                </w:rPr>
                <w:t>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7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88">
              <w:r>
                <w:rPr>
                  <w:rStyle w:val="InternetLink"/>
                  <w:rFonts w:ascii="Times New Roman;serif" w:hAnsi="Times New Roman;serif"/>
                  <w:b w:val="false"/>
                  <w:strike w:val="false"/>
                  <w:dstrike w:val="false"/>
                  <w:color w:val="000000"/>
                  <w:sz w:val="20"/>
                  <w:u w:val="none"/>
                  <w:effect w:val="none"/>
                </w:rPr>
                <w:t>43</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1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09">
              <w:r>
                <w:rPr>
                  <w:rStyle w:val="InternetLink"/>
                  <w:rFonts w:ascii="Times New Roman;serif" w:hAnsi="Times New Roman;serif"/>
                  <w:b w:val="false"/>
                  <w:strike w:val="false"/>
                  <w:dstrike w:val="false"/>
                  <w:color w:val="000000"/>
                  <w:sz w:val="20"/>
                  <w:u w:val="none"/>
                  <w:effect w:val="none"/>
                </w:rPr>
                <w:t>50</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75">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12">
              <w:r>
                <w:rPr>
                  <w:rStyle w:val="InternetLink"/>
                  <w:rFonts w:ascii="Times New Roman;serif" w:hAnsi="Times New Roman;serif"/>
                  <w:b w:val="false"/>
                  <w:strike w:val="false"/>
                  <w:dstrike w:val="false"/>
                  <w:color w:val="000000"/>
                  <w:sz w:val="20"/>
                  <w:u w:val="none"/>
                  <w:effect w:val="none"/>
                </w:rPr>
                <w:t>50</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1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Other Information</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24">
              <w:r>
                <w:rPr>
                  <w:rStyle w:val="InternetLink"/>
                  <w:rFonts w:ascii="Times New Roman;serif" w:hAnsi="Times New Roman;serif"/>
                  <w:b w:val="false"/>
                  <w:strike w:val="false"/>
                  <w:dstrike w:val="false"/>
                  <w:color w:val="000080"/>
                  <w:sz w:val="20"/>
                  <w:u w:val="single"/>
                  <w:effect w:val="none"/>
                </w:rPr>
                <w:t xml:space="preserve">Item </w:t>
              </w:r>
            </w:hyperlink>
            <w:hyperlink w:anchor="i1bf4b393bb374befa923b1b50a443961_124">
              <w:r>
                <w:rPr>
                  <w:rStyle w:val="InternetLink"/>
                  <w:rFonts w:ascii="Times New Roman;serif" w:hAnsi="Times New Roman;serif"/>
                  <w:b w:val="false"/>
                  <w:strike w:val="false"/>
                  <w:dstrike w:val="false"/>
                  <w:color w:val="000080"/>
                  <w:sz w:val="20"/>
                  <w:u w:val="single"/>
                  <w:effect w:val="none"/>
                </w:rPr>
                <w:t>1</w:t>
              </w:r>
            </w:hyperlink>
            <w:hyperlink w:anchor="i1bf4b393bb374befa923b1b50a443961_124">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18">
              <w:r>
                <w:rPr>
                  <w:rStyle w:val="InternetLink"/>
                  <w:rFonts w:ascii="Times New Roman;serif" w:hAnsi="Times New Roman;serif"/>
                  <w:b w:val="false"/>
                  <w:strike w:val="false"/>
                  <w:dstrike w:val="false"/>
                  <w:color w:val="000000"/>
                  <w:sz w:val="20"/>
                  <w:u w:val="none"/>
                  <w:effect w:val="none"/>
                </w:rPr>
                <w:t>51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78">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21">
              <w:r>
                <w:rPr>
                  <w:rStyle w:val="InternetLink"/>
                  <w:rFonts w:ascii="Times New Roman;serif" w:hAnsi="Times New Roman;serif"/>
                  <w:b w:val="false"/>
                  <w:strike w:val="false"/>
                  <w:dstrike w:val="false"/>
                  <w:color w:val="000000"/>
                  <w:sz w:val="20"/>
                  <w:u w:val="none"/>
                  <w:effect w:val="none"/>
                </w:rPr>
                <w:t>51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88">
              <w:r>
                <w:rPr>
                  <w:rStyle w:val="InternetLink"/>
                  <w:rFonts w:ascii="Times New Roman;serif" w:hAnsi="Times New Roman;serif"/>
                  <w:b w:val="false"/>
                  <w:strike w:val="false"/>
                  <w:dstrike w:val="false"/>
                  <w:color w:val="000080"/>
                  <w:sz w:val="20"/>
                  <w:u w:val="single"/>
                  <w:effect w:val="none"/>
                </w:rPr>
                <w:t xml:space="preserve">Item </w:t>
              </w:r>
            </w:hyperlink>
            <w:hyperlink w:anchor="i1bf4b393bb374befa923b1b50a443961_88">
              <w:r>
                <w:rPr>
                  <w:rStyle w:val="InternetLink"/>
                  <w:rFonts w:ascii="Times New Roman;serif" w:hAnsi="Times New Roman;serif"/>
                  <w:b w:val="false"/>
                  <w:strike w:val="false"/>
                  <w:dstrike w:val="false"/>
                  <w:color w:val="000080"/>
                  <w:sz w:val="20"/>
                  <w:u w:val="single"/>
                  <w:effect w:val="none"/>
                </w:rPr>
                <w:t>2</w:t>
              </w:r>
            </w:hyperlink>
            <w:hyperlink w:anchor="i1bf4b393bb374befa923b1b50a443961_88">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24">
              <w:r>
                <w:rPr>
                  <w:rStyle w:val="InternetLink"/>
                  <w:rFonts w:ascii="Times New Roman;serif" w:hAnsi="Times New Roman;serif"/>
                  <w:b w:val="false"/>
                  <w:strike w:val="false"/>
                  <w:dstrike w:val="false"/>
                  <w:color w:val="000000"/>
                  <w:sz w:val="20"/>
                  <w:u w:val="none"/>
                  <w:effect w:val="none"/>
                </w:rPr>
                <w:t>51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27">
              <w:r>
                <w:rPr>
                  <w:rStyle w:val="InternetLink"/>
                  <w:rFonts w:ascii="Times New Roman;serif" w:hAnsi="Times New Roman;serif"/>
                  <w:b w:val="false"/>
                  <w:strike w:val="false"/>
                  <w:dstrike w:val="false"/>
                  <w:color w:val="000000"/>
                  <w:sz w:val="20"/>
                  <w:u w:val="none"/>
                  <w:effect w:val="none"/>
                </w:rPr>
                <w:t>51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30">
              <w:r>
                <w:rPr>
                  <w:rStyle w:val="InternetLink"/>
                  <w:rFonts w:ascii="Times New Roman;serif" w:hAnsi="Times New Roman;serif"/>
                  <w:b w:val="false"/>
                  <w:strike w:val="false"/>
                  <w:dstrike w:val="false"/>
                  <w:color w:val="000000"/>
                  <w:sz w:val="20"/>
                  <w:u w:val="none"/>
                  <w:effect w:val="none"/>
                </w:rPr>
                <w:t>51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33">
              <w:r>
                <w:rPr>
                  <w:rStyle w:val="InternetLink"/>
                  <w:rFonts w:ascii="Times New Roman;serif" w:hAnsi="Times New Roman;serif"/>
                  <w:b w:val="false"/>
                  <w:strike w:val="false"/>
                  <w:dstrike w:val="false"/>
                  <w:color w:val="000000"/>
                  <w:sz w:val="20"/>
                  <w:u w:val="none"/>
                  <w:effect w:val="none"/>
                </w:rPr>
                <w:t>51</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39">
              <w:r>
                <w:rPr>
                  <w:rStyle w:val="InternetLink"/>
                  <w:rFonts w:ascii="Times New Roman;serif" w:hAnsi="Times New Roman;serif"/>
                  <w:b w:val="false"/>
                  <w:strike w:val="false"/>
                  <w:dstrike w:val="false"/>
                  <w:color w:val="000080"/>
                  <w:sz w:val="20"/>
                  <w:u w:val="single"/>
                  <w:effect w:val="none"/>
                </w:rPr>
                <w:t xml:space="preserve">Item </w:t>
              </w:r>
            </w:hyperlink>
            <w:hyperlink w:anchor="i1bf4b393bb374befa923b1b50a443961_139">
              <w:r>
                <w:rPr>
                  <w:rStyle w:val="InternetLink"/>
                  <w:rFonts w:ascii="Times New Roman;serif" w:hAnsi="Times New Roman;serif"/>
                  <w:b w:val="false"/>
                  <w:strike w:val="false"/>
                  <w:dstrike w:val="false"/>
                  <w:color w:val="000080"/>
                  <w:sz w:val="20"/>
                  <w:u w:val="single"/>
                  <w:effect w:val="none"/>
                </w:rPr>
                <w:t>6</w:t>
              </w:r>
            </w:hyperlink>
            <w:hyperlink w:anchor="i1bf4b393bb374befa923b1b50a443961_139">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39">
              <w:r>
                <w:rPr>
                  <w:rStyle w:val="InternetLink"/>
                  <w:rFonts w:ascii="Times New Roman;serif" w:hAnsi="Times New Roman;serif"/>
                  <w:b w:val="false"/>
                  <w:strike w:val="false"/>
                  <w:dstrike w:val="false"/>
                  <w:color w:val="000000"/>
                  <w:sz w:val="20"/>
                  <w:u w:val="none"/>
                  <w:effect w:val="none"/>
                </w:rPr>
                <w:t>Exhibits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39">
              <w:r>
                <w:rPr>
                  <w:rStyle w:val="InternetLink"/>
                  <w:rFonts w:ascii="Times New Roman;serif" w:hAnsi="Times New Roman;serif"/>
                  <w:b w:val="false"/>
                  <w:strike w:val="false"/>
                  <w:dstrike w:val="false"/>
                  <w:color w:val="000000"/>
                  <w:sz w:val="20"/>
                  <w:u w:val="none"/>
                  <w:effect w:val="none"/>
                </w:rPr>
                <w:t>52</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bf4b393bb374befa923b1b50a443961_142">
              <w:r>
                <w:rPr>
                  <w:rStyle w:val="InternetLink"/>
                  <w:rFonts w:ascii="Times New Roman;serif" w:hAnsi="Times New Roman;serif"/>
                  <w:b w:val="false"/>
                  <w:strike w:val="false"/>
                  <w:dstrike w:val="false"/>
                  <w:color w:val="000000"/>
                  <w:sz w:val="20"/>
                  <w:u w:val="none"/>
                  <w:effect w:val="none"/>
                </w:rPr>
                <w:t>Signatures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f4b393bb374befa923b1b50a443961_142">
              <w:r>
                <w:rPr>
                  <w:rStyle w:val="InternetLink"/>
                  <w:rFonts w:ascii="Times New Roman;serif" w:hAnsi="Times New Roman;serif"/>
                  <w:b w:val="false"/>
                  <w:strike w:val="false"/>
                  <w:dstrike w:val="false"/>
                  <w:color w:val="000000"/>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references in this Quarterly Report on Form 10-Q (“Form 10-Q”) to “Innventure,” the “Company,” “we,” “our” or “us” refer to Innventure, Inc. and its consolidated subsidiaries.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Accelsius and all future operating subsidiary companies that Innventure may found, fund, and operate going forward, the “Innventure Companies”). Forward-looking statements generally relate to future events or the Company’s future financial or operating performance and may refer to projections, forecasts or other characterizations of future events or circumstances, including any underlying assumptions.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2025 (the “2025 Annual Report”) entitled “Risk Factors,” those discussed and identified in other public filings made with the Securities and Exchange Commission (the “SEC”) by the Company and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Innventure’s and the Innventure Companies’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Innventure’s and the Innventure Companies’ ability to invest in growth initiatives;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implementation, market acceptance and success of Innventure’s and the Innventure Companies’ business models and growth strategies;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future capital requirements and sources and uses of cash;</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sustained unfavorable economic or other conditions which could require Innventure to evaluate and potentially record additional impairment charges for all, or a portion of, its goodwill and other intangible assets;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maintain control over the Innventure Companies;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meet the various conditions imposed by, and to satisfy its obligations to, WTI Fund X, Inc. and WTI Fund XI, Inc. (together, the “WTI Lenders”) under the WTI Facility (as defined below);</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access to funds under the Standby Equity Purchase Agreement (the “SEPA”) with YA II PN, Ltd. (“Yorkville”) due to certain conditions, restrictions and limitations set forth therein;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certain restrictions and limitations set forth in Innventure’s and the Innventure Companies’ financing instruments, which may impair Innventure’s and the Innventure Companies’ financial and operating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ability to generate liquidity and maintain sufficient capital to operate as anticipated;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ability to obtain funding for their operations and future growth and to continue as going concerns;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the technology solutions that Innventure and the Innventure Companies license or acquire from third parties or develop internally may not function as anticipated or provide the benefits anticipated;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developments and projections relating to Innventure’s and the Innventure Companies’ competitors and industry;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scale the operations of their respective businesses;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establish substantial commercial sales of their products;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compete against companies with greater capital and other resources or superior technology or products;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 and the Innventure Companies’ ability to meet, and to continue to meet, applicable regulatory requirements for the use of their respective products and the numerous regulatory requirements generally applicable to their businesses;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outcome of any legal proceedings against Innventure or the Innventure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Innventure’s ability to find future opportunities to license or acquire breakthrough technology solutions from technology solutions providers and to satisfy the requirements imposed by or to avoid disagreements with its current and future technology solutions providers</w:t>
      </w:r>
      <w:r>
        <w:rPr>
          <w:rFonts w:ascii="Times New Roman;serif" w:hAnsi="Times New Roman;serif"/>
          <w:b w:val="false"/>
          <w:color w:val="000000"/>
          <w:sz w:val="24"/>
        </w:rPr>
        <w: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the launch of new companies distracts Innventure’s management from its and its other subsidiaries’ operations;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Innventure may be deemed an investment company under the Investment Company Act of 1940 (the “Investment Company Act”), which would impose burdensome compliance requirements and restrictions on its activities;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sufficiently protect the intellectual property (“IP”) rights of itself and its Innventure Companies, and to avoid or resolve in a timely and cost-effective manner any disputes that may arise relating to its use of the IP of third parties;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of a cyber-attack or a failure of Innventure’s information technology and data security infrastructure;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actions by activist shareholders;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geopolitical risk and changes in applicable laws or regulations, including with respect to foreign trade policy and tariffs;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potential adverse effects of other economic, business, and/or competitive factors;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operational risks related to Innventure and the Innventure Companies, which have limited or no operating history;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limited liquidity and trading of Innventure’s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812"/>
        <w:gridCol w:w="2406"/>
        <w:gridCol w:w="2435"/>
        <w:gridCol w:w="193"/>
        <w:gridCol w:w="693"/>
        <w:gridCol w:w="116"/>
        <w:gridCol w:w="109"/>
        <w:gridCol w:w="109"/>
        <w:gridCol w:w="109"/>
        <w:gridCol w:w="193"/>
        <w:gridCol w:w="693"/>
        <w:gridCol w:w="337"/>
      </w:tblGrid>
      <w:tr>
        <w:trPr/>
        <w:tc>
          <w:tcPr>
            <w:tcW w:w="2812"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55,367 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60,449 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1,094 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Due from related parties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11,840 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1,604 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3,167 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Assets </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81,824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83,154</w:t>
            </w: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28,741 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1,941 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155,133 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160,537 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Assets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591,483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599,187</w:t>
            </w: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Equity</w:t>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2,551 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11,343 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7,386 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 current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12,846 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Term convertible note, current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7,890 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Convertible promissory note, current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 current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Obligation to issue equity</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liability</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27,458 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Liabilities </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59,847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76,276</w:t>
            </w: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net of current portion</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8,327 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65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Earnout liability</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3,890 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net of current portion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13,848 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93,334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115,511</w:t>
            </w: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Commitments and Contingencies (Note 16)</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$0.0001 par value, 25,000,000 shares authorized;</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B Preferred Stock, $0.0001 par value, 3,000,000 shares designated, 35,792 and 33,144 shares issued and outstanding as of March 31, 2026 and December 31, 2025, respectively</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C Preferred Stock, $0.0001 par value, 5,000,000 shares designated, 159,270 and 150,000 shares issued and outstanding as of March 31, 2026 and December 31, 2025, respectively</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$0.0001 par value, 250,000,000 shares authorized, 80,094,894 and 67,743,847 shares issued and outstanding as of March 31, 2026 and December 31, 2025, respectively</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617,017 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577,070 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loss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(1,260)</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(392,408)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(371,603)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Innventure, Inc., Stockholders’ Equity</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223,445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204,214</w:t>
            </w: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274,704 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279,462 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Stockholders' Equity </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498,149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483,676</w:t>
            </w: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and Stockholders' Equity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591,483</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599,187</w:t>
            </w:r>
            <w:r>
              <w:rPr>
                <w:color w:val="000000"/>
              </w:rPr>
              <w:t> </w:t>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9165" w:type="dxa"/>
        <w:jc w:val="center"/>
        <w:tblInd w:w="0" w:type="dxa"/>
        <w:tblLayout w:type="fixed"/>
        <w:tblCellMar>
          <w:top w:w="28" w:type="dxa"/>
          <w:left w:w="28" w:type="dxa"/>
          <w:bottom w:w="28" w:type="dxa"/>
          <w:right w:w="28" w:type="dxa"/>
        </w:tblCellMar>
      </w:tblPr>
      <w:tblGrid>
        <w:gridCol w:w="2023"/>
        <w:gridCol w:w="1775"/>
        <w:gridCol w:w="1811"/>
        <w:gridCol w:w="109"/>
        <w:gridCol w:w="109"/>
        <w:gridCol w:w="140"/>
        <w:gridCol w:w="140"/>
        <w:gridCol w:w="253"/>
        <w:gridCol w:w="930"/>
        <w:gridCol w:w="140"/>
        <w:gridCol w:w="109"/>
        <w:gridCol w:w="109"/>
        <w:gridCol w:w="109"/>
        <w:gridCol w:w="196"/>
        <w:gridCol w:w="811"/>
        <w:gridCol w:w="401"/>
      </w:tblGrid>
      <w:tr>
        <w:trPr/>
        <w:tc>
          <w:tcPr>
            <w:tcW w:w="202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735" w:type="dxa"/>
            <w:gridSpan w:val="6"/>
            <w:tcBorders/>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1,443</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224</w:t>
            </w: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19,676 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6,253 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233,213 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28,740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261,422</w:t>
            </w: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(27,297)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(261,198)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16,429 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(6,756)</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Non-operating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(3,525)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6,125</w:t>
            </w:r>
            <w:r>
              <w:rPr>
                <w:color w:val="000000"/>
              </w:rPr>
              <w:t>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(30,822)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(255,073)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(27,783)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(253,674)</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(110,677)</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Net Loss Attributable to Stockholders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(20,805)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(142,997)</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weighted average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77,829,187 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46,252,922 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income (loss) on available for sale debt securities -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realized gain on conversion of available for sale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comprehensive income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(2,387)</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(27,692)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(256,061)</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loss attributable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(110,677)</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Comprehensive Loss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(20,714)</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(145,384)</w:t>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p>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3987" w:type="dxa"/>
        <w:jc w:val="left"/>
        <w:tblInd w:w="0" w:type="dxa"/>
        <w:tblLayout w:type="fixed"/>
        <w:tblCellMar>
          <w:top w:w="28" w:type="dxa"/>
          <w:left w:w="28" w:type="dxa"/>
          <w:bottom w:w="28" w:type="dxa"/>
          <w:right w:w="28" w:type="dxa"/>
        </w:tblCellMar>
      </w:tblPr>
      <w:tblGrid>
        <w:gridCol w:w="625"/>
        <w:gridCol w:w="220"/>
        <w:gridCol w:w="221"/>
        <w:gridCol w:w="285"/>
        <w:gridCol w:w="286"/>
        <w:gridCol w:w="171"/>
        <w:gridCol w:w="109"/>
        <w:gridCol w:w="109"/>
        <w:gridCol w:w="109"/>
        <w:gridCol w:w="181"/>
        <w:gridCol w:w="406"/>
        <w:gridCol w:w="109"/>
        <w:gridCol w:w="109"/>
        <w:gridCol w:w="109"/>
        <w:gridCol w:w="109"/>
        <w:gridCol w:w="323"/>
        <w:gridCol w:w="323"/>
        <w:gridCol w:w="171"/>
        <w:gridCol w:w="109"/>
        <w:gridCol w:w="109"/>
        <w:gridCol w:w="109"/>
        <w:gridCol w:w="181"/>
        <w:gridCol w:w="406"/>
        <w:gridCol w:w="109"/>
        <w:gridCol w:w="109"/>
        <w:gridCol w:w="109"/>
        <w:gridCol w:w="109"/>
        <w:gridCol w:w="413"/>
        <w:gridCol w:w="413"/>
        <w:gridCol w:w="171"/>
        <w:gridCol w:w="109"/>
        <w:gridCol w:w="109"/>
        <w:gridCol w:w="109"/>
        <w:gridCol w:w="194"/>
        <w:gridCol w:w="259"/>
        <w:gridCol w:w="118"/>
        <w:gridCol w:w="109"/>
        <w:gridCol w:w="109"/>
        <w:gridCol w:w="109"/>
        <w:gridCol w:w="181"/>
        <w:gridCol w:w="646"/>
        <w:gridCol w:w="109"/>
        <w:gridCol w:w="109"/>
        <w:gridCol w:w="109"/>
        <w:gridCol w:w="109"/>
        <w:gridCol w:w="181"/>
        <w:gridCol w:w="631"/>
        <w:gridCol w:w="109"/>
        <w:gridCol w:w="109"/>
        <w:gridCol w:w="109"/>
        <w:gridCol w:w="109"/>
        <w:gridCol w:w="204"/>
        <w:gridCol w:w="543"/>
        <w:gridCol w:w="124"/>
        <w:gridCol w:w="109"/>
        <w:gridCol w:w="109"/>
        <w:gridCol w:w="109"/>
        <w:gridCol w:w="211"/>
        <w:gridCol w:w="756"/>
        <w:gridCol w:w="129"/>
        <w:gridCol w:w="109"/>
        <w:gridCol w:w="109"/>
        <w:gridCol w:w="109"/>
        <w:gridCol w:w="181"/>
        <w:gridCol w:w="646"/>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9"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December 31, 2025</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33,144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150,000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67,743,847</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577,070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(371,603)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(1,260)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279,462</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483,676 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(6,978)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issued for paid-in-kind dividends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net of issuance costs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11,495,572 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for services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convertible debentures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304,377 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RSU settlement, net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505,141 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gain, net of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C Preferred Stock issued for paid-in-kind dividends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preferred dividends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and related transfers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March 31, 2026</w:t>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35,792</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159,270</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80,094,894</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617,017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(392,408)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(1,172)</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274,704</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498,149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 (Deficit)</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5710" w:type="dxa"/>
        <w:jc w:val="left"/>
        <w:tblInd w:w="0" w:type="dxa"/>
        <w:tblLayout w:type="fixed"/>
        <w:tblCellMar>
          <w:top w:w="28" w:type="dxa"/>
          <w:left w:w="28" w:type="dxa"/>
          <w:bottom w:w="28" w:type="dxa"/>
          <w:right w:w="28" w:type="dxa"/>
        </w:tblCellMar>
      </w:tblPr>
      <w:tblGrid>
        <w:gridCol w:w="625"/>
        <w:gridCol w:w="220"/>
        <w:gridCol w:w="221"/>
        <w:gridCol w:w="375"/>
        <w:gridCol w:w="376"/>
        <w:gridCol w:w="171"/>
        <w:gridCol w:w="109"/>
        <w:gridCol w:w="109"/>
        <w:gridCol w:w="109"/>
        <w:gridCol w:w="181"/>
        <w:gridCol w:w="406"/>
        <w:gridCol w:w="109"/>
        <w:gridCol w:w="109"/>
        <w:gridCol w:w="109"/>
        <w:gridCol w:w="109"/>
        <w:gridCol w:w="203"/>
        <w:gridCol w:w="203"/>
        <w:gridCol w:w="171"/>
        <w:gridCol w:w="109"/>
        <w:gridCol w:w="109"/>
        <w:gridCol w:w="109"/>
        <w:gridCol w:w="181"/>
        <w:gridCol w:w="406"/>
        <w:gridCol w:w="109"/>
        <w:gridCol w:w="109"/>
        <w:gridCol w:w="109"/>
        <w:gridCol w:w="109"/>
        <w:gridCol w:w="413"/>
        <w:gridCol w:w="413"/>
        <w:gridCol w:w="171"/>
        <w:gridCol w:w="109"/>
        <w:gridCol w:w="109"/>
        <w:gridCol w:w="109"/>
        <w:gridCol w:w="194"/>
        <w:gridCol w:w="259"/>
        <w:gridCol w:w="118"/>
        <w:gridCol w:w="109"/>
        <w:gridCol w:w="109"/>
        <w:gridCol w:w="109"/>
        <w:gridCol w:w="181"/>
        <w:gridCol w:w="646"/>
        <w:gridCol w:w="109"/>
        <w:gridCol w:w="109"/>
        <w:gridCol w:w="109"/>
        <w:gridCol w:w="109"/>
        <w:gridCol w:w="181"/>
        <w:gridCol w:w="631"/>
        <w:gridCol w:w="109"/>
        <w:gridCol w:w="109"/>
        <w:gridCol w:w="109"/>
        <w:gridCol w:w="109"/>
        <w:gridCol w:w="204"/>
        <w:gridCol w:w="543"/>
        <w:gridCol w:w="124"/>
        <w:gridCol w:w="109"/>
        <w:gridCol w:w="109"/>
        <w:gridCol w:w="109"/>
        <w:gridCol w:w="211"/>
        <w:gridCol w:w="756"/>
        <w:gridCol w:w="129"/>
        <w:gridCol w:w="109"/>
        <w:gridCol w:w="109"/>
        <w:gridCol w:w="109"/>
        <w:gridCol w:w="181"/>
        <w:gridCol w:w="646"/>
        <w:gridCol w:w="109"/>
        <w:gridCol w:w="327"/>
        <w:gridCol w:w="751"/>
        <w:gridCol w:w="171"/>
        <w:gridCol w:w="181"/>
        <w:gridCol w:w="57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9"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1,102,000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44,597,154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502,865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(78,262)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340,777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(110,677)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buyback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issued for paid-in-kind dividends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net of issuance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73,993 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for services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87,971 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earnout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2,344,682 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gain, net of taxes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related party notes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2,310,848 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C Preferred Stock, net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C Preferred Stock for services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issued and related transfers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33,249 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stockholders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preferred dividends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 of Series C Preferred Stock from Mezzanine equity to Stockholders' equity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March 31, 2025</w:t>
            </w:r>
          </w:p>
        </w:tc>
        <w:tc>
          <w:tcPr>
            <w:tcW w:w="7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1,118,808</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47,103,800</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484,256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(221,285)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(1,478)</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264,247</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525,745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2,885,848</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28,726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046" w:type="dxa"/>
        <w:jc w:val="left"/>
        <w:tblInd w:w="0" w:type="dxa"/>
        <w:tblLayout w:type="fixed"/>
        <w:tblCellMar>
          <w:top w:w="28" w:type="dxa"/>
          <w:left w:w="28" w:type="dxa"/>
          <w:bottom w:w="28" w:type="dxa"/>
          <w:right w:w="28" w:type="dxa"/>
        </w:tblCellMar>
      </w:tblPr>
      <w:tblGrid>
        <w:gridCol w:w="2033"/>
        <w:gridCol w:w="1788"/>
        <w:gridCol w:w="1804"/>
        <w:gridCol w:w="411"/>
        <w:gridCol w:w="1366"/>
        <w:gridCol w:w="247"/>
        <w:gridCol w:w="109"/>
        <w:gridCol w:w="109"/>
        <w:gridCol w:w="109"/>
        <w:gridCol w:w="245"/>
        <w:gridCol w:w="916"/>
        <w:gridCol w:w="909"/>
      </w:tblGrid>
      <w:tr>
        <w:trPr/>
        <w:tc>
          <w:tcPr>
            <w:tcW w:w="203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 2025</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Flows Used in Operating Activities</w:t>
            </w:r>
          </w:p>
        </w:tc>
        <w:tc>
          <w:tcPr>
            <w:tcW w:w="2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(27,783)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(253,674)</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Adjustments to reconcile net loss to net cash and cash equivalents used in operating activities:</w:t>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4,832 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5,841 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 on debt securities - related party</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financial liabilities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(16,429)</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interest expense on notes payable</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510 </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gain on investments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unpaid interest on note payable</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method investment loss (gain)</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6,756 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Realized gain on conversion of available for sale investments</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(1,507)</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extinguishment of debt</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extinguishment of related party debt</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3,538 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(1,899)</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disposal of PPE</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5,671 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5,548 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impairment</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233,213 </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costs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Changes in operating assets and liabilities:</w:t>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(4,046)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Inventory</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1,587 </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(6,863)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1,943 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(5,503)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565 </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(442)</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patent installment</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(525)</w:t>
            </w:r>
          </w:p>
        </w:tc>
        <w:tc>
          <w:tcPr>
            <w:tcW w:w="909"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Net Cash Used in Operating Activities </w:t>
            </w:r>
          </w:p>
        </w:tc>
        <w:tc>
          <w:tcPr>
            <w:tcW w:w="1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(34,031)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(14,696)</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Flows Used in Investing Activities</w:t>
            </w:r>
          </w:p>
        </w:tc>
        <w:tc>
          <w:tcPr>
            <w:tcW w:w="2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 available-for-sale debt securities - equity method investee</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(2,337)</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property, plant and equipment</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(917)</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Net Cash Used in Investing Activities </w:t>
            </w:r>
          </w:p>
        </w:tc>
        <w:tc>
          <w:tcPr>
            <w:tcW w:w="1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(846)</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(3,254)</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Flows Provided by Financing Activities</w:t>
            </w:r>
          </w:p>
        </w:tc>
        <w:tc>
          <w:tcPr>
            <w:tcW w:w="2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equity, net of issuance costs</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37,207 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3,675 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equity to non-controlling interest, net of issuance costs</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4,907 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debts</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(7,412)</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preferred stock</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stockholders and other</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Net Cash Flows Provided by Financing Activities </w:t>
            </w:r>
          </w:p>
        </w:tc>
        <w:tc>
          <w:tcPr>
            <w:tcW w:w="1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29,795</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8,206</w:t>
            </w:r>
            <w:r>
              <w:rPr>
                <w:color w:val="000000"/>
              </w:rPr>
              <w:t> </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Decrease in Cash, Cash Equivalents and Restricted Cash</w:t>
            </w:r>
          </w:p>
        </w:tc>
        <w:tc>
          <w:tcPr>
            <w:tcW w:w="1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(5,082)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(9,744)</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Beginning of period</w:t>
            </w:r>
          </w:p>
        </w:tc>
        <w:tc>
          <w:tcPr>
            <w:tcW w:w="1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65,449 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11,119 </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Cash, Cash Equivalents and Restricted Cash End of period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60,367</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9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1,375</w:t>
            </w:r>
            <w:r>
              <w:rPr>
                <w:color w:val="000000"/>
              </w:rPr>
              <w:t> </w:t>
            </w:r>
          </w:p>
        </w:tc>
        <w:tc>
          <w:tcPr>
            <w:tcW w:w="9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063"/>
        <w:gridCol w:w="1743"/>
        <w:gridCol w:w="1747"/>
        <w:gridCol w:w="559"/>
        <w:gridCol w:w="1201"/>
        <w:gridCol w:w="311"/>
        <w:gridCol w:w="109"/>
        <w:gridCol w:w="109"/>
        <w:gridCol w:w="109"/>
        <w:gridCol w:w="382"/>
        <w:gridCol w:w="1085"/>
        <w:gridCol w:w="787"/>
      </w:tblGrid>
      <w:tr>
        <w:trPr/>
        <w:tc>
          <w:tcPr>
            <w:tcW w:w="206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2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Financing Information</w:t>
            </w:r>
          </w:p>
        </w:tc>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working capital loans to equity method investee into investments in debt securities - related party</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investments in debt Securities - related party through OCI</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Extinguishment of debt with Series C Preferred Stock</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of Series C Preferred Stock to equity method investee</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5,783 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AFX available-for-sale term loan into equity method investments</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8,757 </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as repayment of convertible debt</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vested RSUs</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in exchange for services</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4,002 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reallocation between non-controlling interest and additional paid-in capital</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26,304 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Nature of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otherwise requires, references herein to "Innventure", "we", "us", "our" and "the Company" refer to the business and operations of Innventure, Inc., and its consolidated subsidiaries.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8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the same accounting policies in preparing quarterly and annual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a cash balance of $55.4 million, a restricted cash balance of $5.0 million, accumulated deficit of $392.4 million and working capital of $22.0 million. The Company incurred a net loss of $27.8 million for the three months ended March 31, 2026. We have experienced recurring losses from operations and negative cash flows from operating activities. In addition, we continue to have an ongoing need to raise significant additional cash from outside sources to sustain our operations and fund our growth plans.</w:t>
      </w:r>
    </w:p>
    <w:p>
      <w:pPr>
        <w:pStyle w:val="TextBody"/>
        <w:bidi w:val="0"/>
        <w:spacing w:lineRule="auto" w:line="288" w:before="0" w:after="180"/>
        <w:jc w:val="both"/>
        <w:rPr/>
      </w:pPr>
      <w:r>
        <w:rPr>
          <w:rFonts w:ascii="Times New Roman;serif" w:hAnsi="Times New Roman;serif"/>
          <w:b w:val="false"/>
          <w:color w:val="000000"/>
          <w:sz w:val="20"/>
        </w:rPr>
        <w:t xml:space="preserve">In connection with our assessment of going concern considerations in accordance with Financial Accounting Standard Board’s (“FASB”) Accounting Standards Update (“ASU”) 2014-15, </w:t>
      </w:r>
      <w:r>
        <w:rPr>
          <w:color w:val="000000"/>
        </w:rPr>
        <w:t>“</w:t>
      </w:r>
      <w:r>
        <w:rPr>
          <w:rFonts w:ascii="Times New Roman;serif" w:hAnsi="Times New Roman;serif"/>
          <w:b w:val="false"/>
          <w:i/>
          <w:color w:val="000000"/>
          <w:sz w:val="20"/>
        </w:rPr>
        <w:t>Disclosures of Uncertainties about an Entity’s Ability to Continue as a Going Concern,”</w:t>
      </w:r>
      <w:r>
        <w:rPr>
          <w:color w:val="000000"/>
        </w:rPr>
        <w:t xml:space="preserve"> </w:t>
      </w:r>
      <w:r>
        <w:rPr>
          <w:rFonts w:ascii="Times New Roman;serif" w:hAnsi="Times New Roman;serif"/>
          <w:b w:val="false"/>
          <w:color w:val="000000"/>
          <w:sz w:val="20"/>
        </w:rPr>
        <w:t xml:space="preserve">management has determined that these conditions raise substantial doubt about our ability to continue as a going concern within one year after the filing date of the condensed consolidated financial statements included in Item 1. of this Form 10-Q. If we are unable to obtain adequate capital from public or private equity or debt financing, or otherwise generate sufficient revenues from the Innventure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adopted ASU 2023-09 for the year ended December 31, 2025. The Company has made the required disclosures related to this ASU within Note 13. Income Taxes.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But Not Yet Adopted Accounting Standards</w:t>
      </w:r>
    </w:p>
    <w:p>
      <w:pPr>
        <w:pStyle w:val="TextBody"/>
        <w:bidi w:val="0"/>
        <w:spacing w:lineRule="auto" w:line="288" w:before="0" w:after="18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 xml:space="preserve">Disclosure Improvements: Codification Amendments in Response to the SEC’s Disclosure Update and Simplification Initiative </w:t>
      </w:r>
      <w:r>
        <w:rPr>
          <w:rFonts w:ascii="Times New Roman;serif" w:hAnsi="Times New Roman;serif"/>
          <w:b w:val="false"/>
          <w:color w:val="000000"/>
          <w:sz w:val="20"/>
        </w:rPr>
        <w:t>(“ASU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which reduces the diversity in practice and improves the decision usefulness and 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for the application of the current expected credit loss (“CECL”) model to current accounts 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increases the operability of the recognition guidance considering different methods of software development. The amendments in this ASU are effective for the fiscal years beginning after December 15, 2027, and interim reporting periods within those annual reporting periods. Early adoption is permitted as of the beginning of an annual reporting period. If elected, the amendments in this ASU should be applied prospectively. The Company is currently evaluating the impact ASU 2025-06 will have on its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which is expected to reduce the cost and complexity of evaluating whether contracts with features are derivatives, better portray the economics of those contracts in the financial statements, reduce diversity from the application of the current guidance and changing business environment, and to clarify Topic 606 applicability to share-based noncash consideration for the transfer of goods or services. The amendments in this ASU are effective for the fiscal years beginning after December 15, 2026, and interim reporting periods within those annual reporting periods. Early adoption is permitted. If elected, the amendments in this ASU should be applied prospectively. The Company is currently evaluating the impact ASU 2025-07 will have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Investments</w:t>
      </w:r>
    </w:p>
    <w:tbl>
      <w:tblPr>
        <w:tblW w:w="6475" w:type="dxa"/>
        <w:jc w:val="left"/>
        <w:tblInd w:w="0" w:type="dxa"/>
        <w:tblLayout w:type="fixed"/>
        <w:tblCellMar>
          <w:top w:w="28" w:type="dxa"/>
          <w:left w:w="28" w:type="dxa"/>
          <w:bottom w:w="28" w:type="dxa"/>
          <w:right w:w="28" w:type="dxa"/>
        </w:tblCellMar>
      </w:tblPr>
      <w:tblGrid>
        <w:gridCol w:w="1065"/>
        <w:gridCol w:w="935"/>
        <w:gridCol w:w="940"/>
        <w:gridCol w:w="287"/>
        <w:gridCol w:w="1004"/>
        <w:gridCol w:w="148"/>
        <w:gridCol w:w="109"/>
        <w:gridCol w:w="109"/>
        <w:gridCol w:w="109"/>
        <w:gridCol w:w="339"/>
        <w:gridCol w:w="1183"/>
        <w:gridCol w:w="24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Equity-method investments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at fair value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Investments </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27,474</w:t>
            </w:r>
            <w:r>
              <w:rPr>
                <w:color w:val="000000"/>
              </w:rPr>
              <w:t>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28,741</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i/>
          <w:color w:val="000000"/>
          <w:sz w:val="20"/>
        </w:rPr>
        <w:t>Equity-method investments</w:t>
      </w:r>
      <w:r>
        <w:rPr>
          <w:color w:val="000000"/>
        </w:rPr>
        <w:t xml:space="preserv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March 31, 2026 and December 31, 2025.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AeroFlexx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a 37.1% equity method investment interest in AeroFlexx as of March 31, 2026 and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 in debt securities - Available for Sale (“AFS”)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 loan agreement with AeroFlexx under which the Company will lend up to $10.0 million to AeroFlexx.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 million limit until the maturity date. The loans bear interest at the applicable federal rate published by the Internal Revenue Service, which is adjusted on a quarterly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outstanding principal and unpaid accrued interest with an amount equal to the equity deficit of $7.3 million was automatically converted into Class D preferred units of AeroFlexx (“Class D Units”) at the price of $6.83 per share in accordance with the loan agreement. Upon conversion, a realized gain of $1.5 million was recognized for the year ended December 31, 2025 and is included in non-operating income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principal balance drawn as of March 31, 2026 was $10.0 million. During the year ended December 31, 2025, $4.4 million was reclassified from Due from related parties under the term loan and $2.7 million was drawn down by AeroFlexx under the term loan.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the loans as an investment in debt securities and classified them as available for sale (“AFS”) debt securities. Based on the AFS classification, the Company records this investment at fair value at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reporting date and as such recorded the changes in fair value of these loans (including the adjustment to fair value at inception date) in Other comprehensive income ("OCI").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 contractual maturity of the loan is December 31, 2026, it is included in the current line item Investments of the condensed consolidated balance sheets. The increase of $0.1 million and decrease of $0.9 million in fair value of this investment in debt securities for the three months ended March 31, 2026 and 2025, respectively, is included as Unrealized loss on available for sale debt securities - related party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Company’s carrying amount and maximum exposure relating to AeroFlexx advances and other receivables were $13.3 million and $10.8 million as of March 31, 2026 and December 31, 2025, respectively, included in Due from related parties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fair value hierarchy for assets and liabilities measured at fair value on a recurring basis (in thousands): </w:t>
      </w:r>
    </w:p>
    <w:tbl>
      <w:tblPr>
        <w:tblW w:w="9220" w:type="dxa"/>
        <w:jc w:val="left"/>
        <w:tblInd w:w="0" w:type="dxa"/>
        <w:tblLayout w:type="fixed"/>
        <w:tblCellMar>
          <w:top w:w="28" w:type="dxa"/>
          <w:left w:w="28" w:type="dxa"/>
          <w:bottom w:w="28" w:type="dxa"/>
          <w:right w:w="28" w:type="dxa"/>
        </w:tblCellMar>
      </w:tblPr>
      <w:tblGrid>
        <w:gridCol w:w="1058"/>
        <w:gridCol w:w="931"/>
        <w:gridCol w:w="935"/>
        <w:gridCol w:w="408"/>
        <w:gridCol w:w="787"/>
        <w:gridCol w:w="214"/>
        <w:gridCol w:w="109"/>
        <w:gridCol w:w="109"/>
        <w:gridCol w:w="109"/>
        <w:gridCol w:w="479"/>
        <w:gridCol w:w="922"/>
        <w:gridCol w:w="248"/>
        <w:gridCol w:w="109"/>
        <w:gridCol w:w="109"/>
        <w:gridCol w:w="109"/>
        <w:gridCol w:w="287"/>
        <w:gridCol w:w="839"/>
        <w:gridCol w:w="150"/>
        <w:gridCol w:w="109"/>
        <w:gridCol w:w="109"/>
        <w:gridCol w:w="109"/>
        <w:gridCol w:w="211"/>
        <w:gridCol w:w="61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6296"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8"/>
        <w:gridCol w:w="575"/>
        <w:gridCol w:w="577"/>
        <w:gridCol w:w="695"/>
        <w:gridCol w:w="1340"/>
        <w:gridCol w:w="364"/>
        <w:gridCol w:w="109"/>
        <w:gridCol w:w="109"/>
        <w:gridCol w:w="109"/>
        <w:gridCol w:w="397"/>
        <w:gridCol w:w="1357"/>
        <w:gridCol w:w="206"/>
        <w:gridCol w:w="109"/>
        <w:gridCol w:w="109"/>
        <w:gridCol w:w="109"/>
        <w:gridCol w:w="393"/>
        <w:gridCol w:w="1346"/>
        <w:gridCol w:w="205"/>
        <w:gridCol w:w="109"/>
        <w:gridCol w:w="109"/>
        <w:gridCol w:w="109"/>
        <w:gridCol w:w="211"/>
        <w:gridCol w:w="721"/>
        <w:gridCol w:w="159"/>
      </w:tblGrid>
      <w:tr>
        <w:trPr/>
        <w:tc>
          <w:tcPr>
            <w:tcW w:w="6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37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estimated fair value of Level 3 financial assets and liabilities that are measured on a recurring basis are as follows (in thousands): </w:t>
      </w:r>
    </w:p>
    <w:tbl>
      <w:tblPr>
        <w:tblW w:w="10205" w:type="dxa"/>
        <w:jc w:val="left"/>
        <w:tblInd w:w="0" w:type="dxa"/>
        <w:tblLayout w:type="fixed"/>
        <w:tblCellMar>
          <w:top w:w="28" w:type="dxa"/>
          <w:left w:w="28" w:type="dxa"/>
          <w:bottom w:w="28" w:type="dxa"/>
          <w:right w:w="28" w:type="dxa"/>
        </w:tblCellMar>
      </w:tblPr>
      <w:tblGrid>
        <w:gridCol w:w="716"/>
        <w:gridCol w:w="567"/>
        <w:gridCol w:w="569"/>
        <w:gridCol w:w="109"/>
        <w:gridCol w:w="109"/>
        <w:gridCol w:w="410"/>
        <w:gridCol w:w="1432"/>
        <w:gridCol w:w="211"/>
        <w:gridCol w:w="109"/>
        <w:gridCol w:w="109"/>
        <w:gridCol w:w="109"/>
        <w:gridCol w:w="259"/>
        <w:gridCol w:w="906"/>
        <w:gridCol w:w="134"/>
        <w:gridCol w:w="109"/>
        <w:gridCol w:w="109"/>
        <w:gridCol w:w="109"/>
        <w:gridCol w:w="358"/>
        <w:gridCol w:w="1250"/>
        <w:gridCol w:w="185"/>
        <w:gridCol w:w="109"/>
        <w:gridCol w:w="109"/>
        <w:gridCol w:w="109"/>
        <w:gridCol w:w="386"/>
        <w:gridCol w:w="1155"/>
        <w:gridCol w:w="199"/>
        <w:gridCol w:w="109"/>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debt securities - AFS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liability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WTI Warrant liability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WTI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6"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14,752</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17,230</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8,353</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7,470</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13,350</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9,246</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13,080</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3,230</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9,426</w:t>
            </w: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3,470</w:t>
            </w:r>
            <w:r>
              <w:rPr>
                <w:color w:val="000000"/>
              </w:rPr>
              <w:t>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13,040</w:t>
            </w:r>
            <w:r>
              <w:rPr>
                <w:color w:val="000000"/>
              </w:rPr>
              <w:t>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3,100</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 or out of levels during the three months ended March 31, 2026 and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(Level 3):</w:t>
      </w:r>
    </w:p>
    <w:tbl>
      <w:tblPr>
        <w:tblW w:w="8931" w:type="dxa"/>
        <w:jc w:val="left"/>
        <w:tblInd w:w="0" w:type="dxa"/>
        <w:tblLayout w:type="fixed"/>
        <w:tblCellMar>
          <w:top w:w="28" w:type="dxa"/>
          <w:left w:w="28" w:type="dxa"/>
          <w:bottom w:w="28" w:type="dxa"/>
          <w:right w:w="28" w:type="dxa"/>
        </w:tblCellMar>
      </w:tblPr>
      <w:tblGrid>
        <w:gridCol w:w="124"/>
        <w:gridCol w:w="109"/>
        <w:gridCol w:w="109"/>
        <w:gridCol w:w="814"/>
        <w:gridCol w:w="814"/>
        <w:gridCol w:w="816"/>
        <w:gridCol w:w="764"/>
        <w:gridCol w:w="764"/>
        <w:gridCol w:w="767"/>
        <w:gridCol w:w="315"/>
        <w:gridCol w:w="766"/>
        <w:gridCol w:w="672"/>
        <w:gridCol w:w="109"/>
        <w:gridCol w:w="109"/>
        <w:gridCol w:w="109"/>
        <w:gridCol w:w="360"/>
        <w:gridCol w:w="871"/>
        <w:gridCol w:w="5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Valuation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Techniques</w:t>
            </w:r>
          </w:p>
        </w:tc>
        <w:tc>
          <w:tcPr>
            <w:tcW w:w="22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Unobservable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Inputs</w:t>
            </w:r>
          </w:p>
        </w:tc>
        <w:tc>
          <w:tcPr>
            <w:tcW w:w="1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8931"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Investment in debt securities - AFS: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22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AeroFlexx yield</w:t>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6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5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931" w:type="dxa"/>
            <w:gridSpan w:val="1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Earnout Shares: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years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161.50 </w:t>
            </w:r>
          </w:p>
        </w:tc>
        <w:tc>
          <w:tcPr>
            <w:tcW w:w="6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157.30 </w:t>
            </w:r>
          </w:p>
        </w:tc>
        <w:tc>
          <w:tcPr>
            <w:tcW w:w="5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931" w:type="dxa"/>
            <w:gridSpan w:val="18"/>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2024 WTI Warrants: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6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5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931" w:type="dxa"/>
            <w:gridSpan w:val="18"/>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WTI Warrants: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58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58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Outstanding principal and accrued interest of $7.3 million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the Earnout Shares (as defined below), 2024 WTI Warrants (as defined below), and 2025 WTI Warrants, refer to Note 9. Earnout Shares and Note 10.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Borrowings</w:t>
      </w:r>
    </w:p>
    <w:tbl>
      <w:tblPr>
        <w:tblW w:w="10205" w:type="dxa"/>
        <w:jc w:val="left"/>
        <w:tblInd w:w="0" w:type="dxa"/>
        <w:tblLayout w:type="fixed"/>
        <w:tblCellMar>
          <w:top w:w="28" w:type="dxa"/>
          <w:left w:w="28" w:type="dxa"/>
          <w:bottom w:w="28" w:type="dxa"/>
          <w:right w:w="28" w:type="dxa"/>
        </w:tblCellMar>
      </w:tblPr>
      <w:tblGrid>
        <w:gridCol w:w="1337"/>
        <w:gridCol w:w="1159"/>
        <w:gridCol w:w="1161"/>
        <w:gridCol w:w="355"/>
        <w:gridCol w:w="355"/>
        <w:gridCol w:w="357"/>
        <w:gridCol w:w="291"/>
        <w:gridCol w:w="873"/>
        <w:gridCol w:w="150"/>
        <w:gridCol w:w="376"/>
        <w:gridCol w:w="376"/>
        <w:gridCol w:w="377"/>
        <w:gridCol w:w="109"/>
        <w:gridCol w:w="109"/>
        <w:gridCol w:w="109"/>
        <w:gridCol w:w="339"/>
        <w:gridCol w:w="1015"/>
        <w:gridCol w:w="176"/>
        <w:gridCol w:w="344"/>
        <w:gridCol w:w="344"/>
        <w:gridCol w:w="493"/>
      </w:tblGrid>
      <w:tr>
        <w:trPr/>
        <w:tc>
          <w:tcPr>
            <w:tcW w:w="133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Maturities</w:t>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1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Promissory Notes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convertible notes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4.00%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 - 5%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convertible notes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WTI Facility</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Notes Payable </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30,030</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37,356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convertible notes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convertible notes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Long-term Notes </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6,940</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8,327</w:t>
            </w: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w:t>
      </w:r>
    </w:p>
    <w:p>
      <w:pPr>
        <w:pStyle w:val="TextBody"/>
        <w:bidi w:val="0"/>
        <w:spacing w:lineRule="auto" w:line="288" w:before="0" w:after="180"/>
        <w:jc w:val="both"/>
        <w:rPr/>
      </w:pPr>
      <w:r>
        <w:rPr>
          <w:rFonts w:ascii="Times New Roman;serif" w:hAnsi="Times New Roman;serif"/>
          <w:b w:val="false"/>
          <w:color w:val="000000"/>
          <w:sz w:val="20"/>
        </w:rPr>
        <w:t>The Company’s notes payable, excluding debt issuance costs, mature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3680" w:type="dxa"/>
        <w:jc w:val="left"/>
        <w:tblInd w:w="0" w:type="dxa"/>
        <w:tblLayout w:type="fixed"/>
        <w:tblCellMar>
          <w:top w:w="28" w:type="dxa"/>
          <w:left w:w="28" w:type="dxa"/>
          <w:bottom w:w="28" w:type="dxa"/>
          <w:right w:w="28" w:type="dxa"/>
        </w:tblCellMar>
      </w:tblPr>
      <w:tblGrid>
        <w:gridCol w:w="933"/>
        <w:gridCol w:w="820"/>
        <w:gridCol w:w="826"/>
        <w:gridCol w:w="211"/>
        <w:gridCol w:w="73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30,030</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1 Promissory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2018, the Company authorized the issuance and sale of unsecured promissory notes to investors up to $35.0 million (the “Series 1 promissory notes”). From 2018 to 2021, the Company issued promissory notes with a total principal amount of 4.9 million.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Extensions on Series 1 promissory notes were as follows (in thousands):</w:t>
      </w:r>
    </w:p>
    <w:tbl>
      <w:tblPr>
        <w:tblW w:w="8102" w:type="dxa"/>
        <w:jc w:val="left"/>
        <w:tblInd w:w="0" w:type="dxa"/>
        <w:tblLayout w:type="fixed"/>
        <w:tblCellMar>
          <w:top w:w="28" w:type="dxa"/>
          <w:left w:w="28" w:type="dxa"/>
          <w:bottom w:w="28" w:type="dxa"/>
          <w:right w:w="28" w:type="dxa"/>
        </w:tblCellMar>
      </w:tblPr>
      <w:tblGrid>
        <w:gridCol w:w="1576"/>
        <w:gridCol w:w="1384"/>
        <w:gridCol w:w="1389"/>
        <w:gridCol w:w="109"/>
        <w:gridCol w:w="109"/>
        <w:gridCol w:w="418"/>
        <w:gridCol w:w="805"/>
        <w:gridCol w:w="216"/>
        <w:gridCol w:w="109"/>
        <w:gridCol w:w="109"/>
        <w:gridCol w:w="109"/>
        <w:gridCol w:w="448"/>
        <w:gridCol w:w="992"/>
        <w:gridCol w:w="329"/>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2nd extension promissory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before="0" w:after="6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on Series 1 promissory notes was as follows (in thousands):</w:t>
      </w:r>
    </w:p>
    <w:tbl>
      <w:tblPr>
        <w:tblW w:w="7507" w:type="dxa"/>
        <w:jc w:val="left"/>
        <w:tblInd w:w="0" w:type="dxa"/>
        <w:tblLayout w:type="fixed"/>
        <w:tblCellMar>
          <w:top w:w="28" w:type="dxa"/>
          <w:left w:w="28" w:type="dxa"/>
          <w:bottom w:w="28" w:type="dxa"/>
          <w:right w:w="28" w:type="dxa"/>
        </w:tblCellMar>
      </w:tblPr>
      <w:tblGrid>
        <w:gridCol w:w="1276"/>
        <w:gridCol w:w="1121"/>
        <w:gridCol w:w="1127"/>
        <w:gridCol w:w="109"/>
        <w:gridCol w:w="109"/>
        <w:gridCol w:w="257"/>
        <w:gridCol w:w="257"/>
        <w:gridCol w:w="528"/>
        <w:gridCol w:w="640"/>
        <w:gridCol w:w="272"/>
        <w:gridCol w:w="109"/>
        <w:gridCol w:w="109"/>
        <w:gridCol w:w="109"/>
        <w:gridCol w:w="431"/>
        <w:gridCol w:w="738"/>
        <w:gridCol w:w="315"/>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repaid the outstanding balance of the Series 1 promissory notes.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WTI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22, 2024, the Company entered into a term loan with WTI Fund X, Inc. and WTI Fund XI, Inc., (collectively, “WTI Lenders”). The terms of the loan provides for a term loan facility in the aggregate principal amount of up to $50.0 million (the "WTI Facility"). The total aggregate principal was available in three separate tranches subject to the Company meeting certain conditions. The Company received $20.0 million (the “First Tranche”) on November 15, 2024. The First Tranche, principal and interest, shall be repaid over a period of 30 months in equal, monthly installments, commencing after an initial 12-month period of interest-only monthly payments, resulting in a total term of 42 months. The funds under each of the second Tranche and the third Tranche are no longer available to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12 months in the case of the First Tranche in equal monthly installments over a period of 30 months. Obligations are secured by a lien on the majority of the assets of Innventure LLC and Innventure, Inc.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 million of cash on deposit; (ii) that effective on the date that the Company receives the initial proceeds from the Convertible Debentures, the 2025 WTI Warrants will become issuable to the WTI Lenders;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$3.5 million recorded on the consolidated statements of operations and comprehensive income (loss) for the year ended December 31, 2025. The legal requirement to maintain at least $5.0 million of cash on deposit is presented as Restricted cash on the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WTI Facility, the Company issued the 2024 WTI Warrants and the 2025 WTI Warrants (collectively the “WTI Warrants”) to the WTI Lenders (as further defined and described in Note 10. Warrants). The Company accounted for each of the WTI Warrants as detachable warrants at their fair value. The fair value of the WTI Warrants was recorded as a liability and as a discount to the WTI Facility on the consolidated balance sheets. The WTI Warrants are classified as a liability in accordance with ASC 480, as they represent an instrument that is not an outstanding share and may require the issuer to settle the obligation by transferring assets, specifically cash. The Company is amortizing the discount over the term of the WTI Facility using the straight-line method. </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on this facility was as follows (in thousands):</w:t>
      </w:r>
    </w:p>
    <w:tbl>
      <w:tblPr>
        <w:tblW w:w="9466" w:type="dxa"/>
        <w:jc w:val="left"/>
        <w:tblInd w:w="0" w:type="dxa"/>
        <w:tblLayout w:type="fixed"/>
        <w:tblCellMar>
          <w:top w:w="28" w:type="dxa"/>
          <w:left w:w="28" w:type="dxa"/>
          <w:bottom w:w="28" w:type="dxa"/>
          <w:right w:w="28" w:type="dxa"/>
        </w:tblCellMar>
      </w:tblPr>
      <w:tblGrid>
        <w:gridCol w:w="2015"/>
        <w:gridCol w:w="1770"/>
        <w:gridCol w:w="1780"/>
        <w:gridCol w:w="109"/>
        <w:gridCol w:w="109"/>
        <w:gridCol w:w="174"/>
        <w:gridCol w:w="174"/>
        <w:gridCol w:w="338"/>
        <w:gridCol w:w="1012"/>
        <w:gridCol w:w="174"/>
        <w:gridCol w:w="109"/>
        <w:gridCol w:w="109"/>
        <w:gridCol w:w="109"/>
        <w:gridCol w:w="314"/>
        <w:gridCol w:w="941"/>
        <w:gridCol w:w="229"/>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 and 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1,275</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w:t>
            </w:r>
            <w:r>
              <w:rPr>
                <w:color w:val="000000"/>
              </w:rPr>
              <w:t>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25, 2025, the Company entered into a securities purchase agreement (“Existing Purchase Agreement”) with Yorkville related to the issuance and sale of convertible debentures (“Existing Convertible Debentures” collectively with the New Convertible Debentures defined below, the “Convertible Debentures”) with an aggregate principal amount of up to $30.0 million. The Existing Convertible Debentures are convertible into shares of Common Stock and contain certain features that represent embedded derivatives, which are bifurcated and included within Prepaid expenses and other current assets on the consolidated balance sheets. The Company issued the aggregate principal amount of the Existing Convertible Debentures in two tranches tied to separate reporting and filing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first tranche of the Existing Convertible Debentures with a principal amount of $20.0 million, resulting in cash proceeds to the Company of $18.0 million, representing an original issue discount of 10%. The first tranche was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March 31, 2026 (subject to future adjustments to the number and type of shares pursuant to the 2025 WTI Warrants), to the WTI Holders. Each of the 2025 WTI Warrants is exercisable through March 31, 2035. For further information on the 2025 WTI Warrants, refer to Note 10.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15, 2025, the Company issued the second tranche of the Existing Convertible Debentures with a principal amount of $10.0 million, resulting in cash proceeds to the Company of $9.0 million, representing an original issue discount of 10%. The second tranche was scheduled to be repaid in eleven monthly payments with a 5% payment premium due to the lender with each payment. There is no contractual interest associated with amounts outstanding for the Existing Convertible Debentures for the three months ended March 31, 2026 and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an additional amendment to the Existing Purchase Agreement for the Existing Convertible Debentures (the “September 2025 Amendment”). Pursuant to the September 2025 Amendment, the Company and Yorkville agreed to amend the definition of conversion price so that the fixed price of $10.00 was reduced to $7.00 and a floor price of $1.59 was implemented. Additionally, the monthly payments applicable to the Existing Convertible Debentures were removed and replaced with repayment due upon maturity in connection with the early repayment of the approximately $2.0 million. The payment premium on this payment was waived. However, payments and related payment premiums resume should the Innventure stock price fall below the floor price, the Company issues in excess of 99% of Common Shares under the exchange cap or Yorkville is unable to utilize a registration statement to resell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the Company entered into a securities purchase agreement (the “Securities Purchase Agreement”) with Yorkville for up to $15.0 million in convertible debentures (“New Convertible Debentures”), issuable in two tranches. The first tranche of $10.0 million was issued with a 10% original issue discount, yielding $9.0 million in net proceeds, and bears 5% annual interest, with repayment due September 15, 2026. The debentures are convertible into Common Stock and contain certain features that represent embedded derivatives which are bifurcated and included within Prepaid expenses and other current assets on the condensed consolidated balance sheets.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 issued the second tranche of the New Convertible Debentures for $5.0 million. The debentures were issued with a 10% original issue discount, yielding $4.5 million in net proceeds, bear 5% annual interest, and mature on September 15,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September 2025 Amendment and first tranche of the New Convertible Debentures were accounted for collectively as a troubled debt restructuring. The Company determined that a concession was provided based on a decrease in the effective interest rate when compared to the original terms of the Existing Convertible Debentures. Under the troubled debt restructuring a loss on extinguishment of debt of $12.6 million was recorded on the consolidated statements of operations and comprehensive income (loss) for the year ended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27, 2026, the Company issued 304,377 shares of Common Stock due to the exercise of conversion option by Yorkville for a principal amount of $1.1 million of the Convertible Debentures. Additionally, the Company made a cash payment of $5.5 million inclusive of principal, interest and fees, satisfying the Convertible Debentures in full. The repayment of the Convertible Debentures resulted in an aggregate of $1.0 million loss on extinguishment of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the Convertible Debentures was as follows (in thousands):</w:t>
      </w:r>
    </w:p>
    <w:tbl>
      <w:tblPr>
        <w:tblW w:w="8309" w:type="dxa"/>
        <w:jc w:val="left"/>
        <w:tblInd w:w="0" w:type="dxa"/>
        <w:tblLayout w:type="fixed"/>
        <w:tblCellMar>
          <w:top w:w="28" w:type="dxa"/>
          <w:left w:w="28" w:type="dxa"/>
          <w:bottom w:w="28" w:type="dxa"/>
          <w:right w:w="28" w:type="dxa"/>
        </w:tblCellMar>
      </w:tblPr>
      <w:tblGrid>
        <w:gridCol w:w="1591"/>
        <w:gridCol w:w="1398"/>
        <w:gridCol w:w="1405"/>
        <w:gridCol w:w="109"/>
        <w:gridCol w:w="109"/>
        <w:gridCol w:w="223"/>
        <w:gridCol w:w="223"/>
        <w:gridCol w:w="437"/>
        <w:gridCol w:w="778"/>
        <w:gridCol w:w="225"/>
        <w:gridCol w:w="109"/>
        <w:gridCol w:w="109"/>
        <w:gridCol w:w="109"/>
        <w:gridCol w:w="406"/>
        <w:gridCol w:w="782"/>
        <w:gridCol w:w="296"/>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Term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dates in June and July of 2025, Accelsius entered into unsecured convertible notes with various other parties (the “Term Convertible Notes”) for a total principal amount of $7.8 million. The Term Convertible Notes have a stated maturity date of December 31, 2026 and bear interest at the annual applicable federal rate published by the Internal Revenue Service.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January 2, 2026 the Term Convertible Notes, which are subordinated to the WTI Facility, are convertible at the option of the lenders, for all amounts due under the notes at the time of conversion, into Accelsius’ Series A Units at a price per unit equal to $12.175. For as long as any portion of the WTI Facility remains outstanding, the lenders will not demand payment related to the Term Convertible Notes, unless they convert the debt into equity.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Term Convertible Notes was $0.1 million for the three months ended March 31, 2026. There was no interest expense on the Term Convertible Notes for the three months ended March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June of 2025, Accelsius entered into unsecured convertible notes (“Related Party Term Convertible Notes”) with certain investors deemed to be Related Parties (as defined in the Company’s Related Party Transactions Policy) for a total principal amount of $4.2 million. The Related Party Term Convertible Notes have a stated maturity date of December 31, 2026 and bear interest at the annual applicable federal rate published by the Internal Revenue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interest expense on Related Party Convertible Notes, including the amortization of the loan fee, was immaterial for the three months ended March 31, 2026. There was no interest expense on Related Party Convertible Notes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 net</w:t>
      </w:r>
    </w:p>
    <w:tbl>
      <w:tblPr>
        <w:tblW w:w="5111" w:type="dxa"/>
        <w:jc w:val="left"/>
        <w:tblInd w:w="0" w:type="dxa"/>
        <w:tblLayout w:type="fixed"/>
        <w:tblCellMar>
          <w:top w:w="28" w:type="dxa"/>
          <w:left w:w="28" w:type="dxa"/>
          <w:bottom w:w="28" w:type="dxa"/>
          <w:right w:w="28" w:type="dxa"/>
        </w:tblCellMar>
      </w:tblPr>
      <w:tblGrid>
        <w:gridCol w:w="570"/>
        <w:gridCol w:w="501"/>
        <w:gridCol w:w="504"/>
        <w:gridCol w:w="319"/>
        <w:gridCol w:w="956"/>
        <w:gridCol w:w="165"/>
        <w:gridCol w:w="109"/>
        <w:gridCol w:w="109"/>
        <w:gridCol w:w="109"/>
        <w:gridCol w:w="374"/>
        <w:gridCol w:w="1121"/>
        <w:gridCol w:w="27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1,562</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w:t>
            </w:r>
            <w:r>
              <w:rPr>
                <w:color w:val="000000"/>
              </w:rPr>
              <w:t>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Property, Plant and Equipment</w:t>
      </w:r>
    </w:p>
    <w:tbl>
      <w:tblPr>
        <w:tblW w:w="6821" w:type="dxa"/>
        <w:jc w:val="left"/>
        <w:tblInd w:w="0" w:type="dxa"/>
        <w:tblLayout w:type="fixed"/>
        <w:tblCellMar>
          <w:top w:w="28" w:type="dxa"/>
          <w:left w:w="28" w:type="dxa"/>
          <w:bottom w:w="28" w:type="dxa"/>
          <w:right w:w="28" w:type="dxa"/>
        </w:tblCellMar>
      </w:tblPr>
      <w:tblGrid>
        <w:gridCol w:w="1190"/>
        <w:gridCol w:w="1045"/>
        <w:gridCol w:w="1050"/>
        <w:gridCol w:w="319"/>
        <w:gridCol w:w="956"/>
        <w:gridCol w:w="165"/>
        <w:gridCol w:w="109"/>
        <w:gridCol w:w="109"/>
        <w:gridCol w:w="109"/>
        <w:gridCol w:w="374"/>
        <w:gridCol w:w="1121"/>
        <w:gridCol w:w="27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&amp; office equipment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gross </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3,485</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2,910</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2,298</w:t>
            </w:r>
            <w:r>
              <w:rPr>
                <w:color w:val="000000"/>
              </w:rPr>
              <w:t>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1,941</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was $0.3 million and $0.1 million for the three months ended March 31, 2026 and 2025, respectively.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8. Goodwill and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Goodwill balance was $323.5 million as of March 31, 2026 and December 31, 2025. 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Due to sustained decreases in the Company’s publicly quoted share price and market capitalization, which were, at least in part, sensitive to the general downward volatility experienced in the stock market during the prior year, the Company performed interim tests as of March 31, 2025 and June 30, 2025. As a result of the interim testing the Company recorded $233.2 million in non-deductible, non-cash goodwill impairment charges, within the condensed consolidated statements of operations and comprehensive income (loss) during the three months ended March 31, 2025. There were no goodwill impairment charges as of the three months ended March 31, 2026. As of March 31, 2026 and December 31, 2025, the Company recognized accumulated impairment losses on goodwill of $346.6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 </w: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 net</w:t>
      </w:r>
    </w:p>
    <w:tbl>
      <w:tblPr>
        <w:tblW w:w="10205" w:type="dxa"/>
        <w:jc w:val="left"/>
        <w:tblInd w:w="0" w:type="dxa"/>
        <w:tblLayout w:type="fixed"/>
        <w:tblCellMar>
          <w:top w:w="28" w:type="dxa"/>
          <w:left w:w="28" w:type="dxa"/>
          <w:bottom w:w="28" w:type="dxa"/>
          <w:right w:w="28" w:type="dxa"/>
        </w:tblCellMar>
      </w:tblPr>
      <w:tblGrid>
        <w:gridCol w:w="544"/>
        <w:gridCol w:w="336"/>
        <w:gridCol w:w="331"/>
        <w:gridCol w:w="534"/>
        <w:gridCol w:w="534"/>
        <w:gridCol w:w="535"/>
        <w:gridCol w:w="214"/>
        <w:gridCol w:w="855"/>
        <w:gridCol w:w="110"/>
        <w:gridCol w:w="228"/>
        <w:gridCol w:w="801"/>
        <w:gridCol w:w="120"/>
        <w:gridCol w:w="213"/>
        <w:gridCol w:w="852"/>
        <w:gridCol w:w="110"/>
        <w:gridCol w:w="109"/>
        <w:gridCol w:w="109"/>
        <w:gridCol w:w="109"/>
        <w:gridCol w:w="214"/>
        <w:gridCol w:w="855"/>
        <w:gridCol w:w="110"/>
        <w:gridCol w:w="228"/>
        <w:gridCol w:w="801"/>
        <w:gridCol w:w="120"/>
        <w:gridCol w:w="213"/>
        <w:gridCol w:w="851"/>
        <w:gridCol w:w="169"/>
      </w:tblGrid>
      <w:tr>
        <w:trPr/>
        <w:tc>
          <w:tcPr>
            <w:tcW w:w="5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Period Remaining (Years)</w:t>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finite-lived intangible assets</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(32,397)</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155,133</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(26,993)</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160,537</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$5.4 million was recognized for the three months ended March 31, 2026 and 2025 and is recorded within Cost of sales, General and administrative and Research and development on the condensed consolidated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pPr>
      <w:r>
        <w:rPr>
          <w:rFonts w:ascii="Times New Roman;serif" w:hAnsi="Times New Roman;serif"/>
          <w:b w:val="false"/>
          <w:color w:val="000000"/>
          <w:sz w:val="20"/>
        </w:rPr>
        <w:t>Estimated future amortization expense is as follows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4618" w:type="dxa"/>
        <w:jc w:val="left"/>
        <w:tblInd w:w="0" w:type="dxa"/>
        <w:tblLayout w:type="fixed"/>
        <w:tblCellMar>
          <w:top w:w="28" w:type="dxa"/>
          <w:left w:w="28" w:type="dxa"/>
          <w:bottom w:w="28" w:type="dxa"/>
          <w:right w:w="28" w:type="dxa"/>
        </w:tblCellMar>
      </w:tblPr>
      <w:tblGrid>
        <w:gridCol w:w="933"/>
        <w:gridCol w:w="820"/>
        <w:gridCol w:w="826"/>
        <w:gridCol w:w="355"/>
        <w:gridCol w:w="1422"/>
        <w:gridCol w:w="262"/>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155,133</w:t>
            </w:r>
            <w:r>
              <w:rPr>
                <w:color w:val="000000"/>
              </w:rPr>
              <w:t> </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Earnout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further discussed in our 2025 Annual Report,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(as defined and further described in our 2025 Annual Report).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Earnout Shares related to milestone three are liability classified and were fair valued at $3.5 million and $3.9 million as of March 31, 2026 and December 31, 2025, respectively. The Company recognized a loss of $0.4 million and gain of $6.4 million in Change in fair value of financial liabilities on the condensed consolidated statements of operations and comprehensive income (loss) for the three months ended March 31, 2026 and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2, 2026, the Company’s Board of Directors formally recognized Accelsius entering into a binding contract providing for revenue to the Company and certain affiliates in excess of $15.0 million thereby meeting the milestone one condition for the Company Earnout Shares. Accordingly, 2,000,000 shares of Common Stock were issued on April 17, 2026 as result of the satisfaction of the milestone.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Warrants</w:t>
      </w:r>
    </w:p>
    <w:tbl>
      <w:tblPr>
        <w:tblW w:w="10205" w:type="dxa"/>
        <w:jc w:val="left"/>
        <w:tblInd w:w="0" w:type="dxa"/>
        <w:tblLayout w:type="fixed"/>
        <w:tblCellMar>
          <w:top w:w="28" w:type="dxa"/>
          <w:left w:w="28" w:type="dxa"/>
          <w:bottom w:w="28" w:type="dxa"/>
          <w:right w:w="28" w:type="dxa"/>
        </w:tblCellMar>
      </w:tblPr>
      <w:tblGrid>
        <w:gridCol w:w="779"/>
        <w:gridCol w:w="684"/>
        <w:gridCol w:w="687"/>
        <w:gridCol w:w="804"/>
        <w:gridCol w:w="600"/>
        <w:gridCol w:w="602"/>
        <w:gridCol w:w="776"/>
        <w:gridCol w:w="617"/>
        <w:gridCol w:w="619"/>
        <w:gridCol w:w="663"/>
        <w:gridCol w:w="663"/>
        <w:gridCol w:w="665"/>
        <w:gridCol w:w="595"/>
        <w:gridCol w:w="595"/>
        <w:gridCol w:w="856"/>
      </w:tblGrid>
      <w:tr>
        <w:trPr/>
        <w:tc>
          <w:tcPr>
            <w:tcW w:w="7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Public Warrants</w:t>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Private Warrants</w:t>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2024 WTI Warrants</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2025 WTI Warrants</w:t>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December 31, 2025</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March 31, 2026</w:t>
            </w:r>
          </w:p>
        </w:tc>
        <w:tc>
          <w:tcPr>
            <w:tcW w:w="14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6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6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equity-classified public warrants expire on October 2, 2029 or earlier upon redemption or liquidation and are exercisable for $11.50 per share.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Private Placement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The fair value of the private placement warrants was $11.7 million and $11.1 million as of March 31, 2026 and December 31, 2025, respectively, and is included in the warrant liability in the condensed consolidated balance sheets. The Company recognized a gain of $0.5 million and $6.1 million for the three months ended March 31, 2026 and 2025, respectively, in Change in fair value of financial liabilities on the condensed consolidated statements of operations and comprehensive income (loss).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WTI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22, 2024, in connection with the WTI Facility, the Company issued warrants (the "2024 WTI Warrants") to the WTI Lenders. The 2024 WTI Warrants are considered freestanding financial instruments. The fair value of the 2024 WTI Warrants was $13.0 million and $13.1 million as of March 31, 2026 and December 31, 2025, respectively, and are recorded as a warrant liability on the condensed consolidated balance sheets. The Company recognized a loss of $0.1 million and gain of $3.9 million for the three months ended March 31, 2026 and 2025, respectively, in change in fair value of financial liabilities on the condensed consolidated statements of operations and comprehensive income (loss). The 2024 WTI Warrants expire on March 31, 2035. See Note 4. Fair Value for details on the valuation.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fair value of the 2025 WTI Warrants was $3.1 million and $3.2 million as of March 31, 2026 and December 31, 2025, respectively, and are recorded as a warrant liability on the condensed consolidated balance sheets. The Company recognized a loss of $0.1 million for the three months ended March 31, 2026 in the change in fair value of financial liabilities on the condensed consolidated statements of operations and comprehensive income (loss). There was no gain or loss recorded during the three months ended March 31, 2025. The 2025 WTI Warrants expire on March 31, 2035. See Note 4. Fair Value for details on the valuation.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3,000,000 shares of the authorized preferred stock are designated as Series B preferred stock, $0.0001 par value per share (“Series B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Series B Preferred Stock is entitled to an 8% annual rate dividend. On January 16, 2026, the Company distributed 2,648 shares of Series B Preferred Stock to represent cumulative dividends for Series B Preferred Stock, covering the year ended December 31, 2025, as a payment in kind at the specified rate. During the three months ended March 31, 2026, the holders of Series B Preferred Stock made no conversions of Series B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a total of 35,792 shares of Series B Preferred Stock issued and outstanding as of March 31, 2026. As of March 31, 2026, the Company accrued an immaterial amount for the 8% dividend in accrued expenses on the condensed consolidated balance sheets.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C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5,000,000 shares of the authorized preferred stock are designated as series C preferred stock, $0.0001 par value per share (the “Series C Preferred Stock”).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Series C Preferred Stock is entitled to an 8% annual rate dividend. On January 16, 2026, the Company distributed 9,270 shares of Series C Preferred Stock to represent cumulative dividends for Series C Preferred Stock, covering the year ended December 31, 2025, as payment in kind at the specified rate. During the three months ended March 31, 2026, the holders of Series C Preferred Stock made no conversions of Series C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Series C Preferred Stock is subject to similar terms and conditions as the Series B Preferred Stock. The Company had a total of 159,270 shares of Series C Preferred Stock issued and outstanding as of March 31, 2026. As of March 31, 2026, the Company accrued an immaterial amount for the 8% dividend in accrued expenses on the condensed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20, 2025, in connection with the issuance of Series C Preferred Stock, the Company extinguished the outstanding amount of related party notes totaling $14.0 million. The Company recognized a loss $3.5 million in Loss on extinguishment of related party debt on the condensed consolidated statements of operations and comprehensive income (loss) for the three months ended March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Standby Equity Purchase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2023, we entered into the SEPA with Yorkville. Pursuant to the SEPA, the Company shall have the right, but not the obligation, to sell to Yorkville up to $75.0 million of Common Stock at the Company’s request any time during the commitment period commencing on October 2, 2024, and continuing for a term of 3 years. The SEPA will automatically terminate on the earlier to occur of (i) November 01, 2027 and (ii) the date on which Yorkville shall have made payment of advances pursuant to the SEPA for Common Stock equal to the commitment amount of $75.0 million. The Company’s ability to access the SEPA is subject to certain conditions and limitations described therein.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sold 67,000 and 54,600 shares of Common Stock under the SEPA, respectively, raising $0.3 million and $0.7 million in cash proceeds, respectively, which is classified within Issuance of common shares, net of issuance costs in the condensed consolidated statements of changes in stockholders' equity (deficit). As of March 31, 2026, the maximum remaining availability under the SEPA is approximately $66.9 million.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Between April 1, 2026 and May 13 2026, the Company sold an additional 1,950,000 shares of Common Stock under the SEPA, raising $11.9 million in cash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Registered Issuances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entered into securities purchase agreements with four institutional investors for the purchase and sale of 11,428,572 shares of Common Stock for gross proceeds of approximately $40.0 million, before deducting placement agent fees and offering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2024 Equity and Incentive Compensation Plan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costs related to restricted stock units(“RSUs”) of $1.6 million and $3.9 million for the three months ended March 31, 2026 and 2025, respectively, in the condensed consolidated statements of operations and comprehensive income (loss). As of March 31, 2026, the Company had $7.3 million in stock-based compensation expense related to RSUs remaining to be recognized over approximately 1.4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costs related to stock options of $0.4 million and $1.0 million for the three months ended March 31, 2026 and 2025, respectively, in the condensed consolidated statements of operations and comprehensive income (loss). As of March 31, 2026, the Company had $1.7 million in compensation expense related to stock options remaining to be recognized over approximately 1.2 years.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March 31, 2026 using the Black-Scholes option-pricing model based on an expected volatility of 70%, an expected term of approximately 1.0 year, and risk-free rate of return of 3%. The Company recognized an immaterial increase in compensation expense and a $0.4 million decrease in compensation expense for the three months ended March 31, 2026 and 2025, respectively, in relation to the change in fair value of the cash-settled SARs.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Subsidiary Equity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unit-based compensation costs of $2.8 million and $0.9 million for the three months ended March 31, 2026 and 2025, respectively, in the condensed consolidated statements of operations and comprehensive income (loss). As of March 31, 2026, the Company had $17.6 million in unit-based compensation expense remaining to be recognized over approximately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recognized income tax benefits of $3.0 million and $1.4 million, during the three months ended March 31, 2026 and 2025,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was a benefit of 9.86% for the three months ended March 31, 2026, driven primarily by an increase in the valuation allowance as a result of pre-tax book loss activity.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phased in over time. The Company has evaluated the impact of OBBBA on its financial statements and does not expect the legislation to result in a material change to its quarterly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14. Net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w:t>
      </w:r>
    </w:p>
    <w:p>
      <w:pPr>
        <w:pStyle w:val="TextBody"/>
        <w:bidi w:val="0"/>
        <w:spacing w:lineRule="auto" w:line="288" w:before="0" w:after="120"/>
        <w:jc w:val="both"/>
        <w:rPr/>
      </w:pPr>
      <w:r>
        <w:rPr>
          <w:rFonts w:ascii="Times New Roman;serif" w:hAnsi="Times New Roman;serif"/>
          <w:b w:val="false"/>
          <w:color w:val="000000"/>
          <w:sz w:val="20"/>
        </w:rPr>
        <w:t>Presented in the table below is a reconciliation of the numerator and denominator for the earnings per share calculations (</w:t>
      </w:r>
      <w:r>
        <w:rPr>
          <w:rFonts w:ascii="Times New Roman;serif" w:hAnsi="Times New Roman;serif"/>
          <w:b w:val="false"/>
          <w:i/>
          <w:color w:val="000000"/>
          <w:sz w:val="20"/>
        </w:rPr>
        <w:t>in thousands, except per share amounts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230"/>
        <w:gridCol w:w="1944"/>
        <w:gridCol w:w="1954"/>
        <w:gridCol w:w="353"/>
        <w:gridCol w:w="1311"/>
        <w:gridCol w:w="179"/>
        <w:gridCol w:w="109"/>
        <w:gridCol w:w="109"/>
        <w:gridCol w:w="109"/>
        <w:gridCol w:w="251"/>
        <w:gridCol w:w="1068"/>
        <w:gridCol w:w="588"/>
      </w:tblGrid>
      <w:tr>
        <w:trPr/>
        <w:tc>
          <w:tcPr>
            <w:tcW w:w="2230"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6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2025</w:t>
            </w:r>
          </w:p>
        </w:tc>
      </w:tr>
      <w:tr>
        <w:trPr/>
        <w:tc>
          <w:tcPr>
            <w:tcW w:w="6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Innventure, Inc., shareholders</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(142,997)</w:t>
            </w:r>
          </w:p>
        </w:tc>
        <w:tc>
          <w:tcPr>
            <w:tcW w:w="58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12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Less: Cumulative earnings to participating securities</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Undistributed loss for participating securities </w:t>
            </w:r>
          </w:p>
        </w:tc>
        <w:tc>
          <w:tcPr>
            <w:tcW w:w="1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(20,843)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(143,256)</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12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Less: Undistributed loss attributable to participating securities</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 basic and diluted</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(20,843)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(143,256)</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12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outstanding, basic and diluted</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77,829,187 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46,252,922 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loss per share attributable to common shareholders, basic and diluted </w:t>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(0.27)</w:t>
            </w:r>
          </w:p>
        </w:tc>
        <w:tc>
          <w:tcPr>
            <w:tcW w:w="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(3.10)</w:t>
            </w:r>
          </w:p>
        </w:tc>
        <w:tc>
          <w:tcPr>
            <w:tcW w:w="5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the same for each period presented as the inclusion of all potential Common Stock outstanding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Stock outstanding that was excluded from the computation of diluted net loss per share of Common Stock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1312"/>
        <w:gridCol w:w="1134"/>
        <w:gridCol w:w="1142"/>
        <w:gridCol w:w="1022"/>
        <w:gridCol w:w="1001"/>
        <w:gridCol w:w="978"/>
        <w:gridCol w:w="177"/>
        <w:gridCol w:w="177"/>
        <w:gridCol w:w="177"/>
        <w:gridCol w:w="917"/>
        <w:gridCol w:w="912"/>
        <w:gridCol w:w="1256"/>
      </w:tblGrid>
      <w:tr>
        <w:trPr/>
        <w:tc>
          <w:tcPr>
            <w:tcW w:w="131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2026</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2025</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11,246,000 </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Warrants</w:t>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9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085"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Warrants</w:t>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80,065 </w:t>
            </w:r>
          </w:p>
        </w:tc>
        <w:tc>
          <w:tcPr>
            <w:tcW w:w="9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895,047 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356,277 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3,733,547 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1,127,704 </w:t>
            </w:r>
          </w:p>
        </w:tc>
        <w:tc>
          <w:tcPr>
            <w:tcW w:w="9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1,115,409 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880,158 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2,036,476 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SARs</w:t>
            </w:r>
            <w:r>
              <w:rPr>
                <w:rFonts w:ascii="Times New Roman;serif" w:hAnsi="Times New Roman;serif"/>
                <w:b w:val="false"/>
                <w:color w:val="000000"/>
                <w:sz w:val="13"/>
              </w:rPr>
              <w:t>(1)</w:t>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9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As of June 25, 2025 the SARs Agreement was amended to limit payments made in the form of Common Stock to a maximum number of 4,000,000 shares.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Related Party Transactions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Transactions with the 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more fully described in Note 2. Accounting Policies in our 2025 Annual Report, the Company earns a 1%-2% management fee for administrative, finance and accounting, and other back-office functions from the ESG Fund. Management fees earned from the ESG Fund were $0.2 million for the three months ended March 31, 2025 which is recorded as Revenue in the consolidated statements of operations and comprehensive income (loss). There were no management fees earned from the ESG Fund for the three months ended March 31,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AeroFlexx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$13.3 million and $10.5 million, respectively, of advances to AeroFlexx which is included in Due from related parties in the consolidated balance sheets. The advances have no stated interest or maturity date but are expected to be repaid within a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24, 2025, the Company issued 578,294 shares of Series C Preferred Stock to settle AeroFlexx’s debt with a related party. The Company considers the stock issuance to be an investment in AeroFlexx of $5.8 million which was recorded in Investments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PCT Guaranty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22, 2020, the Company entered into a guaranty with a counterparty to unconditionally guarantee PCT’s obligation to reimburse a $5.0 million prepayment upon PCT’s failure to meet certain performance thresholds. Performance thresholds include the commission and construction of a plant. The guaranty has no expiration. There were no amounts paid by the Company for both the guaranty and interest. As of March 31, 2026 and December 31, 2025, there was no principal outstanding under the guaranty.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Patent Agreement Contingent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30, 2025, Accelsius entered into an amended and restated agreement with the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 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pStyle w:val="TextBody"/>
        <w:bidi w:val="0"/>
        <w:spacing w:lineRule="auto" w:line="288" w:before="120" w:after="120"/>
        <w:jc w:val="both"/>
        <w:rPr/>
      </w:pPr>
      <w:r>
        <w:rPr>
          <w:rFonts w:ascii="Times New Roman;serif" w:hAnsi="Times New Roman;serif"/>
          <w:b w:val="false"/>
          <w:color w:val="000000"/>
          <w:sz w:val="20"/>
        </w:rPr>
        <w:t>Under the terms of the agreements, the Company is required to make fixed installment payments, as disclosed below, for each year of the agreement through December 31, 2040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3680" w:type="dxa"/>
        <w:jc w:val="left"/>
        <w:tblInd w:w="0" w:type="dxa"/>
        <w:tblLayout w:type="fixed"/>
        <w:tblCellMar>
          <w:top w:w="28" w:type="dxa"/>
          <w:left w:w="28" w:type="dxa"/>
          <w:bottom w:w="28" w:type="dxa"/>
          <w:right w:w="28" w:type="dxa"/>
        </w:tblCellMar>
      </w:tblPr>
      <w:tblGrid>
        <w:gridCol w:w="933"/>
        <w:gridCol w:w="820"/>
        <w:gridCol w:w="826"/>
        <w:gridCol w:w="211"/>
        <w:gridCol w:w="73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12,375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License and Royalty 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$0.5 million contingent upon achievement of a commercial milestone, which is not yet probable.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pay annual royalties based on Refinity-related gross sales and licensing revenue starting in 2025. For the three months ended March 31, 2026 and 2025, no royalty payments were made to the third party.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Framework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22, 2025, Refinity entered into the Framework Agreement (“Framework Agreement”) with a third party to obtain research services focusing on the further development and optimization of the Gasification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Refinity agreed to pay a minimum fee of €2.0 million for the period beginning January 22, 2025 and ending April 30, 2026 (“Year 1”), and €3.0 million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Refinity incurred €0.6 million of service expenses toward the Year 1 minimum fee for the three months ended March 31, 2026. There were no incurred services expenses for the three months ended March 31, 2025. After currency conversion, Refinity incurred $0.8 million toward the Year 1 minimum fee during the three months ended March 31, 2026. Additionally, during the three months ended March 31, 2026, Refinity made payments of $0.5 million on costs incurred as a part of the Year 1 minimum fee.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17. Business Segment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Technology segment.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 </w:t>
      </w:r>
    </w:p>
    <w:tbl>
      <w:tblPr>
        <w:tblW w:w="6693" w:type="dxa"/>
        <w:jc w:val="left"/>
        <w:tblInd w:w="0" w:type="dxa"/>
        <w:tblLayout w:type="fixed"/>
        <w:tblCellMar>
          <w:top w:w="28" w:type="dxa"/>
          <w:left w:w="28" w:type="dxa"/>
          <w:bottom w:w="28" w:type="dxa"/>
          <w:right w:w="28" w:type="dxa"/>
        </w:tblCellMar>
      </w:tblPr>
      <w:tblGrid>
        <w:gridCol w:w="1008"/>
        <w:gridCol w:w="890"/>
        <w:gridCol w:w="892"/>
        <w:gridCol w:w="109"/>
        <w:gridCol w:w="109"/>
        <w:gridCol w:w="153"/>
        <w:gridCol w:w="153"/>
        <w:gridCol w:w="296"/>
        <w:gridCol w:w="1119"/>
        <w:gridCol w:w="153"/>
        <w:gridCol w:w="109"/>
        <w:gridCol w:w="109"/>
        <w:gridCol w:w="109"/>
        <w:gridCol w:w="247"/>
        <w:gridCol w:w="1057"/>
        <w:gridCol w:w="180"/>
      </w:tblGrid>
      <w:tr>
        <w:trPr/>
        <w:tc>
          <w:tcPr>
            <w:tcW w:w="100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equipment &amp; supplies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14,388</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244,314</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(12,718)</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(244,309)</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 xml:space="preserve">* Represents depreciation expense not already included in Cost of sales.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 Other - change in fair value of embedded derivative liability, loss on conversion of promissory note, travel and other miscellaneous expenses.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left"/>
        <w:rPr/>
      </w:pPr>
      <w:hyperlink w:anchor="i1bf4b393bb374befa923b1b50a44396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reportable segment to amounts reflected in our condensed consolidated financial statements. </w:t>
      </w:r>
    </w:p>
    <w:tbl>
      <w:tblPr>
        <w:tblW w:w="9003" w:type="dxa"/>
        <w:jc w:val="left"/>
        <w:tblInd w:w="0" w:type="dxa"/>
        <w:tblLayout w:type="fixed"/>
        <w:tblCellMar>
          <w:top w:w="28" w:type="dxa"/>
          <w:left w:w="28" w:type="dxa"/>
          <w:bottom w:w="28" w:type="dxa"/>
          <w:right w:w="28" w:type="dxa"/>
        </w:tblCellMar>
      </w:tblPr>
      <w:tblGrid>
        <w:gridCol w:w="1844"/>
        <w:gridCol w:w="1615"/>
        <w:gridCol w:w="1641"/>
        <w:gridCol w:w="109"/>
        <w:gridCol w:w="109"/>
        <w:gridCol w:w="153"/>
        <w:gridCol w:w="153"/>
        <w:gridCol w:w="296"/>
        <w:gridCol w:w="1119"/>
        <w:gridCol w:w="153"/>
        <w:gridCol w:w="109"/>
        <w:gridCol w:w="109"/>
        <w:gridCol w:w="109"/>
        <w:gridCol w:w="247"/>
        <w:gridCol w:w="1057"/>
        <w:gridCol w:w="180"/>
      </w:tblGrid>
      <w:tr>
        <w:trPr/>
        <w:tc>
          <w:tcPr>
            <w:tcW w:w="184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51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7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management services provided to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1,762</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5,671</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5,548</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(244,309)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(27,783)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(253,674)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w:t>
            </w:r>
            <w:r>
              <w:rPr>
                <w:color w:val="000000"/>
              </w:rPr>
              <w:t>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917</w:t>
            </w:r>
            <w:r>
              <w:rPr>
                <w:color w:val="000000"/>
              </w:rPr>
              <w:t>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long-lived assets are located entirely in the United States. Segment assets are not reviewed by the CODM and therefore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Unless the context otherwise requires, references in this section to “we”, “us” and “our” refer to the business and operations of Innventure, Inc. and its consolidated subsidiaries.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as of March 31, 2026 and for the three months ended March 31, 2026 and 2025 included in Item 1 of this Form 10-Q and our predecessor’s, as applicable, audited consolidated financial statements and related notes as of and for the years ended December 31, 2025 and 2024 included in our Annual Report on Form 10-K for the fiscal year ended December 31, 2025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is an industrial growth conglomerate that founds, funds, and operates companies with a focus on commercializing transformative, sustainable technology solutions acquired or licensed from technology innovators, which are typically multinational corporations (“MNCs”) with the intent to maximize values for investors and other stakeholders through positive cash flow generated through holding long term positions in AeroFlexx, LLC (“AeroFlexx” or “AFX”), Accelsius Holdings LLC (“Accelsius” or “ACC”) and Refinity Olefins, LLC (“Refinity” and, together with AeroFlexx, Accelsius, and those subsidiary companies that Innventure may found, fund, and operate going forward, the “Innventure Companies”). Refer to Item 1. “Business” of the Form 10-K for a detailed discussion of our business activities.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other equity method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i/>
          <w:color w:val="000000"/>
          <w:sz w:val="20"/>
        </w:rPr>
        <w:t xml:space="preserve">Comparison of the </w:t>
      </w:r>
      <w:r>
        <w:rPr>
          <w:rFonts w:ascii="Times New Roman;serif" w:hAnsi="Times New Roman;serif"/>
          <w:b/>
          <w:color w:val="000000"/>
          <w:sz w:val="20"/>
        </w:rPr>
        <w:t>three</w:t>
      </w:r>
      <w:r>
        <w:rPr>
          <w:color w:val="000000"/>
        </w:rPr>
        <w:t xml:space="preserve"> </w:t>
      </w:r>
      <w:r>
        <w:rPr>
          <w:rFonts w:ascii="Times New Roman;serif" w:hAnsi="Times New Roman;serif"/>
          <w:b/>
          <w:i/>
          <w:color w:val="000000"/>
          <w:sz w:val="20"/>
        </w:rPr>
        <w:t xml:space="preserve">months ended March 31, 2026 and 2025: </w:t>
      </w:r>
    </w:p>
    <w:tbl>
      <w:tblPr>
        <w:tblW w:w="10205" w:type="dxa"/>
        <w:jc w:val="left"/>
        <w:tblInd w:w="0" w:type="dxa"/>
        <w:tblLayout w:type="fixed"/>
        <w:tblCellMar>
          <w:top w:w="28" w:type="dxa"/>
          <w:left w:w="28" w:type="dxa"/>
          <w:bottom w:w="28" w:type="dxa"/>
          <w:right w:w="28" w:type="dxa"/>
        </w:tblCellMar>
      </w:tblPr>
      <w:tblGrid>
        <w:gridCol w:w="1370"/>
        <w:gridCol w:w="1137"/>
        <w:gridCol w:w="1158"/>
        <w:gridCol w:w="395"/>
        <w:gridCol w:w="1122"/>
        <w:gridCol w:w="219"/>
        <w:gridCol w:w="109"/>
        <w:gridCol w:w="109"/>
        <w:gridCol w:w="109"/>
        <w:gridCol w:w="489"/>
        <w:gridCol w:w="992"/>
        <w:gridCol w:w="256"/>
        <w:gridCol w:w="109"/>
        <w:gridCol w:w="109"/>
        <w:gridCol w:w="109"/>
        <w:gridCol w:w="207"/>
        <w:gridCol w:w="590"/>
        <w:gridCol w:w="109"/>
        <w:gridCol w:w="109"/>
        <w:gridCol w:w="109"/>
        <w:gridCol w:w="109"/>
        <w:gridCol w:w="307"/>
        <w:gridCol w:w="310"/>
        <w:gridCol w:w="563"/>
      </w:tblGrid>
      <w:tr>
        <w:trPr/>
        <w:tc>
          <w:tcPr>
            <w:tcW w:w="137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28,740</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261,422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(232,682)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(89.0)</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from Operations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(27,297)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(261,198)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233,901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(89.5)</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(Expense) and Income</w:t>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investments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 income</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(77.6)</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expense</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Non-operating (Expense) Income</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(3,525)</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6,125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(157.6)</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Income</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(27,783)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(253,674)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225,891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(89.0)</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(110,677)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Attributable to Innventure, Inc. stockholders</w:t>
            </w:r>
          </w:p>
        </w:tc>
        <w:tc>
          <w:tcPr>
            <w:tcW w:w="15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(20,805)</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(142,997)</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122,192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(85.5)</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80"/>
        <w:jc w:val="both"/>
        <w:rPr/>
      </w:pPr>
      <w:r>
        <w:rPr>
          <w:rFonts w:ascii="Times New Roman;serif" w:hAnsi="Times New Roman;serif"/>
          <w:b w:val="false"/>
          <w:i/>
          <w:color w:val="000000"/>
          <w:sz w:val="14"/>
        </w:rPr>
        <w:t>*</w:t>
      </w:r>
      <w:r>
        <w:rPr>
          <w:rFonts w:ascii="Times New Roman;serif" w:hAnsi="Times New Roman;serif"/>
          <w:b w:val="false"/>
          <w:i/>
          <w:color w:val="000000"/>
          <w:sz w:val="14"/>
        </w:rPr>
        <w:t>not meaningful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was $1.4 million and $0.2 million for the three months ended March 31, 2026 and 2025, respectively, an increase of $1.2 million. The increase was driven by an increase of product sales and service revenue in the Technology segment.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sales was $5.3 million and $0.2 million for the three months ended March 31, 2026 and 2025, respectively, an increase of $5.1 million. The increase relates to the generation of revenue in the Technology segment resulting in an increase in costs related to supplies and materials, amortization of intangible assets, and employee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$12.8 million and $19.7 million for the three months ended March 31, 2026 and 2025, respectively, a decrease of $6.9 million or 35.2%. The decrease in expenditures was due to a decrease in stock-based compensation costs and a decrease in professional and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impairment expense was $233.2 million for the three months ended March 31, 2025. The impairment was due to sustained decreases in the Company’s publicly quoted share price and market capitalization, which were sensitive to the general downward volatility experienced in the stock market during the three months ended March 31, 2025. There was no goodwill impairment charge for three months ended March 31,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was $2.9 million and $2.1 million for the three months ended March 31, 2026 and 2025, respectively, an increase of $0.8 million, or 38.2%. The increase is due to increased marketing-related events and expenses primarily associated with the commercialization of the Technology segment, and employee expenses, partially offset by a decrease in marketing related professional fees.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$7.8 million and $6.3 million for the three months ended March 31, 2026 and 2025, respectively, an increase of $1.5 million, or 25.4%. The increase was due to increased expense in the development of new technologies related to Refinity.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net was $1.0 million and $1.5 million for the three months ended March 31, 2026 and 2025, respectively, a decrease of $0.5 million, or 35.7%. The decrease was due to a decrease in interest expense on related party notes that were paid off during the three months ended March 31, 2025, and a decrease in interest expense on the Series 1 Promissory Notes, which were repaid during the three months ended March 31,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liabilities increased by $0.1 million and $16.4 million for the three months ended March 31, 2026 and 2025, respectively, a decrease of $16.3 million. The change was primarily due to a lower increase in fair value of liabilities for warrants issued and earnout liabilities as compared to prior year, partially offset by a gain in fair value of the private placement warrants.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Equity method investment loss was $1.5 million and $6.8 million for the three months ended March 31, 2026 and 2025, respectively a change of $5.2 million, or 77.6%.The change is related to losses from the Company’s equity method investment in AeroFlexx.</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Realized gain on conversion of available for sale investment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Realized gain on conversion of available for sale investment was $1.5 million for three months ended March 31, 2025. The gain was due to the partial conversion of the AeroFlexx investment in debt securities resulting in a realized gain. There was no realized gain on conversion of available for sale investment for three months ended March 31, 2026.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was $1.0 million for the three months ended March 31, 2026. This is due to a loss incurred as a result of the repayment of the Convertible Debentures. There was no loss on extinguishment of debt for three months ended March 31, 2025.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extinguishment of related party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Loss on extinguishment of related party debt was $3.5 million for the three months ended March 31, 2025 due to the extinguishment of the related party loans by additional issuances of the Company’s series C preferred stock, $0.0001 par value per share (“Series C Preferred Stock”). There was no gain or loss on extinguishment of related party debt for the three months ended March 31, 2026.</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condensed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Investors should use caution when comparing our non-GAAP financial measures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from Net Loss to EBITDA and Adjusted EBITDA for the specified periods:</w:t>
      </w:r>
    </w:p>
    <w:tbl>
      <w:tblPr>
        <w:tblW w:w="7818" w:type="dxa"/>
        <w:jc w:val="left"/>
        <w:tblInd w:w="0" w:type="dxa"/>
        <w:tblLayout w:type="fixed"/>
        <w:tblCellMar>
          <w:top w:w="28" w:type="dxa"/>
          <w:left w:w="28" w:type="dxa"/>
          <w:bottom w:w="28" w:type="dxa"/>
          <w:right w:w="28" w:type="dxa"/>
        </w:tblCellMar>
      </w:tblPr>
      <w:tblGrid>
        <w:gridCol w:w="1417"/>
        <w:gridCol w:w="1237"/>
        <w:gridCol w:w="1261"/>
        <w:gridCol w:w="109"/>
        <w:gridCol w:w="109"/>
        <w:gridCol w:w="153"/>
        <w:gridCol w:w="153"/>
        <w:gridCol w:w="296"/>
        <w:gridCol w:w="1119"/>
        <w:gridCol w:w="153"/>
        <w:gridCol w:w="109"/>
        <w:gridCol w:w="109"/>
        <w:gridCol w:w="109"/>
        <w:gridCol w:w="247"/>
        <w:gridCol w:w="1057"/>
        <w:gridCol w:w="180"/>
      </w:tblGrid>
      <w:tr>
        <w:trPr/>
        <w:tc>
          <w:tcPr>
            <w:tcW w:w="14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7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(253,674)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(24,162)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(247,987)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financial liabilities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related party debt</w:t>
            </w:r>
            <w:r>
              <w:rPr>
                <w:rFonts w:ascii="Times New Roman;serif" w:hAnsi="Times New Roman;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(18,416)</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(21,824)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Interest Expense, net, includes interest incurred on our various borrowing facilities and the amortization of debt issuance costs.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Change in fair value of financial liabilities – For the three months ended March 31, 2026 and 2025, the change in fair value of financial liabilities primarily consists of the change in fair value of the warrant liability, the earnout liability and the embedded derivatives in various instruments.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(3) Stock based compensation – For the three months ended March 31, 2026 and 2025, stock based compensation primarily consisted of awards in the 2024 Equity and Incentive Plan. These awards consisted of Stock Options, Restricted Stock Units, and Stock Appreciation Rights. Further, a portion of this expense was related to share-based payment employee incentive plans in existence at subsidiaries.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(4) Goodwill impairment - For the three months ended March 31, 2025. the Company recognized goodwill impairment due to sustained decreases in the Company’s publicly quoted share price and market capitalization, which were, at least in part, sensitive to the general downward volatility experienced in the stock market in the comparable period in the prior year.</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(5) Loss on extinguishment of debt - For the three months ended March 31, 2026 the Company repaid the Convertible Debentures, which resulted in an aggregate of $1.0 million loss on extinguishment of debt. There was no loss on extinguishment of debt for three months ended March 31, 2025. (6) Loss on extinguishment of related party debt - For the three months ended March 31, 2025, the Company extinguished certain related party debts by issuing Series C Preferred Stock. There was no loss on extinguishment of related party debt for the three months ended March 31, 2026.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discussed in more detail below, management has concluded that there is substantial doubt about our ability to continue as a going concern within one year after the date that these condensed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pStyle w:val="TextBody"/>
        <w:bidi w:val="0"/>
        <w:spacing w:lineRule="auto" w:line="288" w:before="120" w:after="120"/>
        <w:jc w:val="both"/>
        <w:rPr/>
      </w:pPr>
      <w:r>
        <w:rPr>
          <w:rFonts w:ascii="Times New Roman;serif" w:hAnsi="Times New Roman;serif"/>
          <w:b w:val="false"/>
          <w:color w:val="000000"/>
          <w:sz w:val="20"/>
        </w:rPr>
        <w:t>.</w:t>
      </w:r>
      <w:r>
        <w:rPr>
          <w:rFonts w:ascii="Times New Roman;serif" w:hAnsi="Times New Roman;serif"/>
          <w:b w:val="false"/>
          <w:i/>
          <w:color w:val="000000"/>
          <w:sz w:val="20"/>
        </w:rPr>
        <w:t>Sources of Liquidity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assessing liquidity, we monitor and analyze cash on hand and operating expenditure commitments. Our material cash requirements are from working capital requirements and operating expense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our current liquidity:</w:t>
      </w:r>
    </w:p>
    <w:tbl>
      <w:tblPr>
        <w:tblW w:w="5801" w:type="dxa"/>
        <w:jc w:val="left"/>
        <w:tblInd w:w="0" w:type="dxa"/>
        <w:tblLayout w:type="fixed"/>
        <w:tblCellMar>
          <w:top w:w="28" w:type="dxa"/>
          <w:left w:w="28" w:type="dxa"/>
          <w:bottom w:w="28" w:type="dxa"/>
          <w:right w:w="28" w:type="dxa"/>
        </w:tblCellMar>
      </w:tblPr>
      <w:tblGrid>
        <w:gridCol w:w="820"/>
        <w:gridCol w:w="720"/>
        <w:gridCol w:w="724"/>
        <w:gridCol w:w="292"/>
        <w:gridCol w:w="998"/>
        <w:gridCol w:w="150"/>
        <w:gridCol w:w="109"/>
        <w:gridCol w:w="109"/>
        <w:gridCol w:w="109"/>
        <w:gridCol w:w="344"/>
        <w:gridCol w:w="1175"/>
        <w:gridCol w:w="25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60,449 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long-term future liquidity requirements will depend on many factors, including funding required by us and our Innventure Companies to (i) support the growth of each of Innventure and the Innventure Companies and their respective business strategies; (ii) fund working capital, capital expenditures and general corporate expenditures; and (iii) support other business opportunities and expenditures. As of March 31, 2026, and over the next 12 months, we anticipate that Innventure will require at least $50.0 million to meet its operating and strategic needs, with up to an additional $25,000 to support our Innventure Companies to the extent that they do not raise capital independently.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 meet these needs through a combination of cash on hand, operating cash flows, strategic investments, the SEPA with Yorkville (maximum remaining availability of approximately $54.9 million as of May 8, 2026 subject to the satisfaction of certain conditions in the SEPA) and additional financings completed by us and our Innventure Companies. While Innventure believes that Accelsius, AeroFlexx and Refinity have reached sufficient levels of maturity to be in a position to raise their own financing, if required, Innventure intends to continue to provide financial support to these Innventure Companies. Summarized below are equity and debt financing activities made for the three months ended March 31, 2026 and as of the date of this Form 10-Q.</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January 9, 2026, the Company sold 67,000</w:t>
      </w:r>
      <w:r>
        <w:rPr>
          <w:color w:val="000000"/>
        </w:rPr>
        <w:t xml:space="preserve"> </w:t>
      </w:r>
      <w:r>
        <w:rPr>
          <w:rFonts w:ascii="Times New Roman;serif" w:hAnsi="Times New Roman;serif"/>
          <w:b w:val="false"/>
          <w:color w:val="000000"/>
          <w:sz w:val="20"/>
        </w:rPr>
        <w:t>shares of Common Stock under the SEPA, raising $0.3 million in cash proceeds. During the period between April 1, 2026 and May 13, 2026, the Company sold an additional 1,950,000 shares of Common Stock under the SEPA, raising $11.9 million in cash proceeds.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On January 12, 2026, the Company entered into securities purchase agreements with four institutional investors, and their affiliates, for the purchase and sale of 11,428,572 shares of Common Stock for gross proceeds of approximately $40.0 million, before deducting placement agent fees and offering expenses.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associated with operating, investing and financing activities for the three months ended March 31, 2026 and 2025 are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192"/>
        <w:gridCol w:w="996"/>
        <w:gridCol w:w="1000"/>
        <w:gridCol w:w="410"/>
        <w:gridCol w:w="1489"/>
        <w:gridCol w:w="228"/>
        <w:gridCol w:w="109"/>
        <w:gridCol w:w="109"/>
        <w:gridCol w:w="109"/>
        <w:gridCol w:w="410"/>
        <w:gridCol w:w="1489"/>
        <w:gridCol w:w="228"/>
        <w:gridCol w:w="109"/>
        <w:gridCol w:w="109"/>
        <w:gridCol w:w="109"/>
        <w:gridCol w:w="196"/>
        <w:gridCol w:w="698"/>
        <w:gridCol w:w="109"/>
        <w:gridCol w:w="278"/>
        <w:gridCol w:w="278"/>
        <w:gridCol w:w="550"/>
      </w:tblGrid>
      <w:tr>
        <w:trPr/>
        <w:tc>
          <w:tcPr>
            <w:tcW w:w="11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327" w:type="dxa"/>
            <w:gridSpan w:val="3"/>
            <w:tcBorders>
              <w:top w:val="single" w:sz="6" w:space="0" w:color="FFFFFF"/>
              <w:bottom w:val="single" w:sz="6"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18"/>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(34,031)</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(14,696)</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Decrease in Cash, Cash Equivalents and Restricted Cash</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(5,082)</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(9,744)</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(47.8)</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operating activities were $34.0 million for the three months ended March 31, 2026, as compared to $14.7 million for the three months ended March 31, 2025, an increase of $19.3 million, or 131.6%. The increase is primarily related to working capital impacts.</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were $0.8 million for the three months ended March 31, 2026, as compared to $3.3 million for the three months ended March 31, 2025, a decrease of $2.4 million or 74.0%. The decrease is primarily related to lower remittances in investments in available-for-sale debt securities in the current period.</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financing activities were $29.8 million for the three months ended March 31, 2026, as compared to $8.2 million for the three months ended March 31, 2025, an increase of $21.6 million or 263.1%. The increase is primarily related to proceeds from the issuance of equity, partially offset by the repayment of debts.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Indebtedness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Refer to Note 5. Borrowings to our condensed consolidated financial statements as of March 31, 2026 and December 31, 2025 included in Item 1. of this Form 10-Q for a discussion of our indebtedness.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including payments due by period, as of March 31, 2026:</w:t>
      </w:r>
    </w:p>
    <w:tbl>
      <w:tblPr>
        <w:tblW w:w="10205" w:type="dxa"/>
        <w:jc w:val="left"/>
        <w:tblInd w:w="0" w:type="dxa"/>
        <w:tblLayout w:type="fixed"/>
        <w:tblCellMar>
          <w:top w:w="28" w:type="dxa"/>
          <w:left w:w="28" w:type="dxa"/>
          <w:bottom w:w="28" w:type="dxa"/>
          <w:right w:w="28" w:type="dxa"/>
        </w:tblCellMar>
      </w:tblPr>
      <w:tblGrid>
        <w:gridCol w:w="783"/>
        <w:gridCol w:w="613"/>
        <w:gridCol w:w="616"/>
        <w:gridCol w:w="338"/>
        <w:gridCol w:w="1182"/>
        <w:gridCol w:w="174"/>
        <w:gridCol w:w="109"/>
        <w:gridCol w:w="109"/>
        <w:gridCol w:w="109"/>
        <w:gridCol w:w="211"/>
        <w:gridCol w:w="736"/>
        <w:gridCol w:w="109"/>
        <w:gridCol w:w="109"/>
        <w:gridCol w:w="109"/>
        <w:gridCol w:w="109"/>
        <w:gridCol w:w="211"/>
        <w:gridCol w:w="631"/>
        <w:gridCol w:w="109"/>
        <w:gridCol w:w="109"/>
        <w:gridCol w:w="109"/>
        <w:gridCol w:w="109"/>
        <w:gridCol w:w="211"/>
        <w:gridCol w:w="481"/>
        <w:gridCol w:w="109"/>
        <w:gridCol w:w="109"/>
        <w:gridCol w:w="109"/>
        <w:gridCol w:w="109"/>
        <w:gridCol w:w="211"/>
        <w:gridCol w:w="631"/>
        <w:gridCol w:w="109"/>
        <w:gridCol w:w="109"/>
        <w:gridCol w:w="109"/>
        <w:gridCol w:w="109"/>
        <w:gridCol w:w="211"/>
        <w:gridCol w:w="736"/>
        <w:gridCol w:w="158"/>
      </w:tblGrid>
      <w:tr>
        <w:trPr/>
        <w:tc>
          <w:tcPr>
            <w:tcW w:w="78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 (remaining nine months)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future installments payable</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20,909</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11,557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43,625</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recurring losses from operations and negative cash flows from operating activities. In addition, we and our Innventure Companies continue to have an ongoing need to raise additional cash from outside sources to sustain our and our Innventure Companies’ operations and fund our growth plans.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issuance of the condensed consolidated financial statements included in Item 1. of this Form 10-Q. If we are unable to obtain adequate capital from public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private equity or debt financing or otherwise generate sufficient revenues from our Innventure Companies to support our cost structure within the normal operating cycle of a twelve (12) month period, we may have to implement additional cost reduction measures or adjust the timing or scope of certain operations at Innventure or certain Innventure Companies, in part or in full, to help manage liquidity. If we raise additional funds through the issuance of additional debt or equity securities (at either the Innventure or Innventure Company level),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Form 10-K.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assuming that we will continue as a going concern and, accordingly, do not include any adjustments that might result from the outcome of this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maintains disclosure controls and procedures that are designed to ensure that information required to be disclosed by Innventure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performed an evaluation, under the supervision and with the participation of the Chief Executive Officer and the Chief Financial Officer, of the effectiveness of our disclosure controls and procedures (as defined in Rule 13a-15(e) and 15d-15(e) under the Exchange Act). Based on this evaluation, the Chief Executive Officer and the Chief Financial Officer concluded that the Company’s disclosure controls and procedures were effective as of March 31, 2026, the end of the period covered by this Quarterly Report on Form 10-Q.</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36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in Rule 12b-2 under the Exchange Act, for this reporting period and are not required to provide the information required under this item.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Sales of Unregistered Equity Securities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8, 2026, the Company issued Yorkville 67,000 shares of Common Stock at an effective price of $4.12 per share, pursuant to the terms of the SEPA. The Company issued the securities in a transaction that did not involve an underwriter and did not require registration under Section 5 of the Securities Act in reliance on the exemption afforded by Section 4(a)(2) thereof or Regulation D promulgated under the Securities Act.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Issuer Repurchases of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none of our directors or officers (as defined in Rule 16a-1(f) under the Exchange Act) adopted, modified or terminated a Rule 10b5-1 trading arrangement or a “non-Rule 10b5-1 trading arrangement”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5"/>
        <w:gridCol w:w="285"/>
        <w:gridCol w:w="286"/>
        <w:gridCol w:w="109"/>
        <w:gridCol w:w="109"/>
        <w:gridCol w:w="109"/>
        <w:gridCol w:w="2808"/>
        <w:gridCol w:w="2546"/>
        <w:gridCol w:w="3628"/>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"https://www.sec.gov/Archives/edgar/data/2001557/000114036124040480/ny20012992x29_s4a.htm" \l "tANNEXA"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Business Combination Agreement, dated as of October 24, 2023, by and among Learn SPAC Holdco, Inc., Learn CW Investment Corporation, LCW Merger Sub, Inc., Innventure LLC and Innventure Merger Sub, LLC (incorporated by reference to Annex A to Innventure, Inc.’s Registration Statement on Form S-4 filed with the SEC on September 6, 2024). </w:t>
            </w:r>
            <w:r>
              <w:rPr>
                <w:rStyle w:val="InternetLink"/>
                <w:sz w:val="20"/>
                <w:u w:val="single"/>
                <w:b w:val="false"/>
                <w:rFonts w:ascii="Times New Roman;serif" w:hAnsi="Times New Roman;serif"/>
                <w:color w:val="0000FF"/>
              </w:rPr>
              <w:fldChar w:fldCharType="end"/>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of Innventure, Inc., filed with the Secretary of State of Delaware on October 2, 2024 (incorporated by reference to Exhibit 3.1 to Innventure Inc.’s Current Report on Form 8-K filed with the SEC on October 9, 2024). </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 xml:space="preserve">By-laws of Innventure, Inc. (incorporated by reference to Exhibit 3.2 to Innventure Inc.’s Current Report on Form 8-K filed with the SEC on October 9, 2024). </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B Preferred Stock, dated October 2, 2024, of Innventure, Inc. (incorporated by reference to Exhibit 3.3 to Innventure, Inc.’s Quarterly Report on Form 10-Q filed with the SEC on May 15, 2025).</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Designation of Series C Preferred Stock, dated March 24, 2025, of Innventure, Inc. (incorporated by reference to Exhibit 3.1 to Innventure Inc.’s Current Report on Form 8-K filed with the SEC on March 25, 2025).</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Form of Securities Purchase Agreement, dated as of January 12, 2026, by and among Innventure, Inc. and the purchasers party thereto (incorporated by reference to Exhibit 10.1 to Innventure, Inc.’s Current Report on Form 8-K filed with the SEC on January 14, 2026).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Employment letter agreement (Mich</w:t>
              </w:r>
            </w:hyperlink>
            <w:hyperlink r:id="rId8">
              <w:r>
                <w:rPr>
                  <w:rStyle w:val="InternetLink"/>
                  <w:rFonts w:ascii="Times New Roman;serif" w:hAnsi="Times New Roman;serif"/>
                  <w:b w:val="false"/>
                  <w:color w:val="000080"/>
                  <w:sz w:val="20"/>
                  <w:u w:val="single"/>
                </w:rPr>
                <w:t>a</w:t>
              </w:r>
            </w:hyperlink>
            <w:hyperlink r:id="rId9">
              <w:r>
                <w:rPr>
                  <w:rStyle w:val="InternetLink"/>
                  <w:rFonts w:ascii="Times New Roman;serif" w:hAnsi="Times New Roman;serif"/>
                  <w:b w:val="false"/>
                  <w:color w:val="000080"/>
                  <w:sz w:val="20"/>
                  <w:u w:val="single"/>
                </w:rPr>
                <w:t>e</w:t>
              </w:r>
            </w:hyperlink>
            <w:hyperlink r:id="rId10">
              <w:r>
                <w:rPr>
                  <w:rStyle w:val="InternetLink"/>
                  <w:rFonts w:ascii="Times New Roman;serif" w:hAnsi="Times New Roman;serif"/>
                  <w:b w:val="false"/>
                  <w:color w:val="000080"/>
                  <w:sz w:val="20"/>
                  <w:u w:val="single"/>
                </w:rPr>
                <w:t>l Otworth), dated February 16, 2026 (incorporated by reference to Exhibit 10.1 to Innventure, Inc.’s Current Report on Form 8</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K filed February 20, 2026).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80"/>
                  <w:sz w:val="20"/>
                  <w:u w:val="single"/>
                </w:rPr>
                <w:t>Employment letter agreement (John Scott), dated February 16, 2026 (incorporated by reference to Exhibit 10.2 to Innventure, Inc.’s Current Report on Form 8</w:t>
              </w:r>
            </w:hyperlink>
            <w:hyperlink r:id="rId14">
              <w:r>
                <w:rPr>
                  <w:rStyle w:val="InternetLink"/>
                  <w:rFonts w:ascii="Times New Roman;serif" w:hAnsi="Times New Roman;serif"/>
                  <w:b w:val="false"/>
                  <w:color w:val="000080"/>
                  <w:sz w:val="20"/>
                  <w:u w:val="single"/>
                </w:rPr>
                <w:t>-</w:t>
              </w:r>
            </w:hyperlink>
            <w:hyperlink r:id="rId15">
              <w:r>
                <w:rPr>
                  <w:rStyle w:val="InternetLink"/>
                  <w:rFonts w:ascii="Times New Roman;serif" w:hAnsi="Times New Roman;serif"/>
                  <w:b w:val="false"/>
                  <w:color w:val="000080"/>
                  <w:sz w:val="20"/>
                  <w:u w:val="single"/>
                </w:rPr>
                <w:t>K filed February 20, 2026).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4formofrestrictedstocku.htm">
              <w:r>
                <w:rPr>
                  <w:rStyle w:val="InternetLink"/>
                  <w:rFonts w:ascii="Times New Roman;serif" w:hAnsi="Times New Roman;serif"/>
                  <w:b w:val="false"/>
                  <w:color w:val="000080"/>
                  <w:sz w:val="20"/>
                  <w:u w:val="single"/>
                </w:rPr>
                <w:t>F</w:t>
              </w:r>
            </w:hyperlink>
            <w:hyperlink w:anchor="a104formofrestrictedstocku.htm">
              <w:r>
                <w:rPr>
                  <w:rStyle w:val="InternetLink"/>
                  <w:rFonts w:ascii="Times New Roman;serif" w:hAnsi="Times New Roman;serif"/>
                  <w:b w:val="false"/>
                  <w:color w:val="000080"/>
                  <w:sz w:val="20"/>
                  <w:u w:val="single"/>
                </w:rPr>
                <w:t>orm of Restricted Stock Unit Award Agreement for Executive Officers (under the Innventure, Inc. 2024 Equity and Incentive Compensation Plan)</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11to2026q1.htm">
              <w:r>
                <w:rPr>
                  <w:rStyle w:val="InternetLink"/>
                  <w:rFonts w:ascii="Times New Roman;serif" w:hAnsi="Times New Roman;serif"/>
                  <w:b w:val="false"/>
                  <w:color w:val="0000FF"/>
                  <w:sz w:val="20"/>
                  <w:u w:val="single"/>
                </w:rPr>
                <w:t>Rule 13a-14(a) Certification by Gregory W. Haskell, Chief Executive Officer, for the quarter ended March 31, 2026.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12to2026q1.htm">
              <w:r>
                <w:rPr>
                  <w:rStyle w:val="InternetLink"/>
                  <w:rFonts w:ascii="Times New Roman;serif" w:hAnsi="Times New Roman;serif"/>
                  <w:b w:val="false"/>
                  <w:color w:val="000080"/>
                  <w:sz w:val="20"/>
                  <w:u w:val="single"/>
                </w:rPr>
                <w:t xml:space="preserve">Rule 13a-14(a) Certification by David Yablunosky, Chief Financial Officer, for the quarter ended </w:t>
              </w:r>
            </w:hyperlink>
            <w:hyperlink w:anchor="inv-exhibit312to2026q1.htm">
              <w:r>
                <w:rPr>
                  <w:rStyle w:val="InternetLink"/>
                  <w:rFonts w:ascii="Times New Roman;serif" w:hAnsi="Times New Roman;serif"/>
                  <w:b w:val="false"/>
                  <w:color w:val="000080"/>
                  <w:sz w:val="20"/>
                  <w:u w:val="single"/>
                </w:rPr>
                <w:t xml:space="preserve">March </w:t>
              </w:r>
            </w:hyperlink>
            <w:hyperlink w:anchor="inv-exhibit312to2026q1.htm">
              <w:r>
                <w:rPr>
                  <w:rStyle w:val="InternetLink"/>
                  <w:rFonts w:ascii="Times New Roman;serif" w:hAnsi="Times New Roman;serif"/>
                  <w:b w:val="false"/>
                  <w:color w:val="000080"/>
                  <w:sz w:val="20"/>
                  <w:u w:val="single"/>
                </w:rPr>
                <w:t>31</w:t>
              </w:r>
            </w:hyperlink>
            <w:hyperlink w:anchor="inv-exhibit312to2026q1.htm">
              <w:r>
                <w:rPr>
                  <w:rStyle w:val="InternetLink"/>
                  <w:rFonts w:ascii="Times New Roman;serif" w:hAnsi="Times New Roman;serif"/>
                  <w:b w:val="false"/>
                  <w:color w:val="000080"/>
                  <w:sz w:val="20"/>
                  <w:u w:val="single"/>
                </w:rPr>
                <w:t>, 2026</w:t>
              </w:r>
            </w:hyperlink>
            <w:hyperlink w:anchor="inv-exhibit312to2026q1.htm">
              <w:r>
                <w:rPr>
                  <w:rStyle w:val="InternetLink"/>
                  <w:rFonts w:ascii="Times New Roman;serif" w:hAnsi="Times New Roman;serif"/>
                  <w:b w:val="false"/>
                  <w:color w:val="000080"/>
                  <w:sz w:val="20"/>
                  <w:u w:val="single"/>
                </w:rPr>
                <w:t>.</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21to2026q1.htm">
              <w:r>
                <w:rPr>
                  <w:rStyle w:val="InternetLink"/>
                  <w:rFonts w:ascii="Times New Roman;serif" w:hAnsi="Times New Roman;serif"/>
                  <w:b w:val="false"/>
                  <w:color w:val="000080"/>
                  <w:sz w:val="20"/>
                  <w:u w:val="single"/>
                </w:rPr>
                <w:t xml:space="preserve">Section 1350 Certification by Gregory W. Haskell, Chief Executive Officer, for the quarter ended </w:t>
              </w:r>
            </w:hyperlink>
            <w:hyperlink w:anchor="inv-exhibit321to2026q1.htm">
              <w:r>
                <w:rPr>
                  <w:rStyle w:val="InternetLink"/>
                  <w:rFonts w:ascii="Times New Roman;serif" w:hAnsi="Times New Roman;serif"/>
                  <w:b w:val="false"/>
                  <w:color w:val="000080"/>
                  <w:sz w:val="20"/>
                  <w:u w:val="single"/>
                </w:rPr>
                <w:t>March 31, 2026</w:t>
              </w:r>
            </w:hyperlink>
            <w:hyperlink w:anchor="inv-exhibit321to2026q1.htm">
              <w:r>
                <w:rPr>
                  <w:rStyle w:val="InternetLink"/>
                  <w:rFonts w:ascii="Times New Roman;serif" w:hAnsi="Times New Roman;serif"/>
                  <w:b w:val="false"/>
                  <w:color w:val="000080"/>
                  <w:sz w:val="20"/>
                  <w:u w:val="single"/>
                </w:rPr>
                <w:t>.</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22to2026q1.htm">
              <w:r>
                <w:rPr>
                  <w:rStyle w:val="InternetLink"/>
                  <w:rFonts w:ascii="Times New Roman;serif" w:hAnsi="Times New Roman;serif"/>
                  <w:b w:val="false"/>
                  <w:color w:val="000080"/>
                  <w:sz w:val="20"/>
                  <w:u w:val="single"/>
                </w:rPr>
                <w:t xml:space="preserve">Section 1350 Certification by David Yablunosky, Chief Financial Officer, for the quarter ended </w:t>
              </w:r>
            </w:hyperlink>
            <w:hyperlink w:anchor="inv-exhibit322to2026q1.htm">
              <w:r>
                <w:rPr>
                  <w:rStyle w:val="InternetLink"/>
                  <w:rFonts w:ascii="Times New Roman;serif" w:hAnsi="Times New Roman;serif"/>
                  <w:b w:val="false"/>
                  <w:color w:val="000080"/>
                  <w:sz w:val="20"/>
                  <w:u w:val="single"/>
                </w:rPr>
                <w:t>March 31, 2026</w:t>
              </w:r>
            </w:hyperlink>
            <w:hyperlink w:anchor="inv-exhibit322to2026q1.htm">
              <w:r>
                <w:rPr>
                  <w:rStyle w:val="InternetLink"/>
                  <w:rFonts w:ascii="Times New Roman;serif" w:hAnsi="Times New Roman;serif"/>
                  <w:b w:val="false"/>
                  <w:color w:val="000080"/>
                  <w:sz w:val="20"/>
                  <w:u w:val="single"/>
                </w:rPr>
                <w:t>.</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Innventure, Inc.’s Quarterly Report on Form 10-Q for the quarter ended March 31, 2026, formatted in Inline XBRL (eXtensible Business Reporting Language): (i) Condensed Consolidated Balance Sheets as of March 31, 2026 and December 31, 2025; (ii) Condensed Consolidated Statements of Operations and Comprehensive Income (Loss) for the three months ended March 31, 2026 and 2025; (iii) Condensed Consolidated Statements of Changes in Mezzanine and Stockholders’ Equity (Deficit) for the three months ended March 31, 2026; (v) Condensed Consolidated Statements of Cash Flows for the three months ended March 31, 2026; and (vi) Notes to Condensed Consolidated Financial Statements.</w:t>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p>
      <w:pPr>
        <w:pStyle w:val="TextBody"/>
        <w:bidi w:val="0"/>
        <w:spacing w:before="0" w:after="2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+Schedules and exhibits have been omitted pursuant to Item 601(b)(2) of Regulation S-K. The registrant agrees to furnish supplementally a copy of any omitted schedule or exhibit to the SEC upon request.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Certain identified information has been excluded pursuant to Rule 601(b)(10) of Regulation S-K because it is both (i) not material and (ii) is the type of information that the registrant treats as private or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before="0" w:after="180"/>
        <w:jc w:val="left"/>
        <w:rPr/>
      </w:pPr>
      <w:r>
        <w:rPr/>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5753" w:type="dxa"/>
        <w:jc w:val="left"/>
        <w:tblInd w:w="0" w:type="dxa"/>
        <w:tblLayout w:type="fixed"/>
        <w:tblCellMar>
          <w:top w:w="28" w:type="dxa"/>
          <w:left w:w="28" w:type="dxa"/>
          <w:bottom w:w="28" w:type="dxa"/>
          <w:right w:w="28" w:type="dxa"/>
        </w:tblCellMar>
      </w:tblPr>
      <w:tblGrid>
        <w:gridCol w:w="629"/>
        <w:gridCol w:w="554"/>
        <w:gridCol w:w="557"/>
        <w:gridCol w:w="298"/>
        <w:gridCol w:w="298"/>
        <w:gridCol w:w="298"/>
        <w:gridCol w:w="909"/>
        <w:gridCol w:w="909"/>
        <w:gridCol w:w="130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Gregory W. Haskell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Haskell</w:t>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Director</w:t>
            </w:r>
          </w:p>
        </w:tc>
      </w:tr>
    </w:tbl>
    <w:p>
      <w:pPr>
        <w:pStyle w:val="TextBody"/>
        <w:bidi w:val="0"/>
        <w:spacing w:before="0" w:after="60"/>
        <w:jc w:val="center"/>
        <w:rPr/>
      </w:pPr>
      <w:r>
        <w:rPr/>
      </w:r>
    </w:p>
    <w:p>
      <w:pPr>
        <w:pStyle w:val="TextBody"/>
        <w:bidi w:val="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INNVENTURE,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NOTICE OF GRANT OF RESTRICTED STOCK UNITS</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Innventure,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hereby grants to the Participant the number of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set forth below under the Innventure, Inc. 2024 Equity and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subject to Participant’s execution of the Agreement (defined below). The RSUs are subject to all of the terms and conditions in this Notice of Grant of Restricted Stock Units (this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in the Restricted Stock Units Agreement attached hereto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and in the Plan. Capitalized terms used, but not otherwise defined, in this Grant Notice will have the meanings given to such terms in the Plan or Agreement, and the Plan and the Agreement are hereby incorporated by reference into this Grant Notice. If there are any inconsistencies between this Grant Notice or the Agreement and the Plan, the terms of the Plan shall govern.</w:t>
      </w:r>
    </w:p>
    <w:tbl>
      <w:tblPr>
        <w:tblW w:w="10205" w:type="dxa"/>
        <w:jc w:val="left"/>
        <w:tblInd w:w="0" w:type="dxa"/>
        <w:tblLayout w:type="fixed"/>
        <w:tblCellMar>
          <w:top w:w="28" w:type="dxa"/>
          <w:left w:w="28" w:type="dxa"/>
          <w:bottom w:w="28" w:type="dxa"/>
          <w:right w:w="28" w:type="dxa"/>
        </w:tblCellMar>
      </w:tblPr>
      <w:tblGrid>
        <w:gridCol w:w="532"/>
        <w:gridCol w:w="466"/>
        <w:gridCol w:w="468"/>
        <w:gridCol w:w="2662"/>
        <w:gridCol w:w="2505"/>
        <w:gridCol w:w="3572"/>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Times New Roman;serif" w:hAnsi="Times New Roman;serif"/>
                <w:b/>
                <w:color w:val="000000"/>
                <w:sz w:val="24"/>
              </w:rPr>
            </w:pPr>
            <w:r>
              <w:rPr>
                <w:rFonts w:ascii="Times New Roman;serif" w:hAnsi="Times New Roman;serif"/>
                <w:b/>
                <w:color w:val="000000"/>
                <w:sz w:val="24"/>
              </w:rPr>
              <w:t>Participant:</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Times New Roman;serif" w:hAnsi="Times New Roman;serif"/>
                <w:b/>
                <w:color w:val="000000"/>
                <w:sz w:val="24"/>
              </w:rPr>
            </w:pPr>
            <w:r>
              <w:rPr>
                <w:rFonts w:ascii="Times New Roman;serif" w:hAnsi="Times New Roman;serif"/>
                <w:b/>
                <w:color w:val="000000"/>
                <w:sz w:val="24"/>
              </w:rPr>
              <w:t>Type of Grant:</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Restricted Stock Units</w:t>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Times New Roman;serif" w:hAnsi="Times New Roman;serif"/>
                <w:b/>
                <w:color w:val="000000"/>
                <w:sz w:val="24"/>
              </w:rPr>
            </w:pPr>
            <w:r>
              <w:rPr>
                <w:rFonts w:ascii="Times New Roman;serif" w:hAnsi="Times New Roman;serif"/>
                <w:b/>
                <w:color w:val="000000"/>
                <w:sz w:val="24"/>
              </w:rPr>
              <w:t>Date of Grant:</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[GRANT DATE]</w:t>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Times New Roman;serif" w:hAnsi="Times New Roman;serif"/>
                <w:b/>
                <w:color w:val="000000"/>
                <w:sz w:val="24"/>
              </w:rPr>
            </w:pPr>
            <w:r>
              <w:rPr>
                <w:rFonts w:ascii="Times New Roman;serif" w:hAnsi="Times New Roman;serif"/>
                <w:b/>
                <w:color w:val="000000"/>
                <w:sz w:val="24"/>
              </w:rPr>
              <w:t>Number of RSUs:</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Times New Roman;serif" w:hAnsi="Times New Roman;serif"/>
                <w:b/>
                <w:color w:val="000000"/>
                <w:sz w:val="24"/>
              </w:rPr>
            </w:pPr>
            <w:r>
              <w:rPr>
                <w:rFonts w:ascii="Times New Roman;serif" w:hAnsi="Times New Roman;serif"/>
                <w:b/>
                <w:color w:val="000000"/>
                <w:sz w:val="24"/>
              </w:rPr>
              <w:t>Vesting Schedule:</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Subject to the conditions set forth in the Agreement, including but not limited to the Participant’s continuous service to the Company or a Subsidiary as an employee, consultant or Board member until the applicable vesting date, the RSUs shall vest as follows: [___________].</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70255"/>
                <wp:effectExtent l="0" t="0" r="0" b="0"/>
                <wp:wrapNone/>
                <wp:docPr id="55" name="Frame55"/>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INNVENTURE,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Restricted Stock Units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In consideration of the Participant’s execution of this Agreement, Innventure,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has granted, pursuant to the Innventure, Inc. 2024 Equity and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to the Participant named in the Notice of Grant of Restricted Stock Units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to which this Restricted Stock Units Agreement is attached (together with the Grant Notice,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an award of Restricted Stock Units as set forth in such Grant Notice, subject to the terms and conditions set forth in this Agreement. Participant acknowledges and agrees that the award of Restricted Stock Units pursuant to this Agreement is valid and sufficient consideration for the waiver set forth in Section 14 of this Agreement.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Certain Definitions</w:t>
      </w:r>
      <w:r>
        <w:rPr>
          <w:rFonts w:ascii="Times New Roman;serif" w:hAnsi="Times New Roman;serif"/>
          <w:b w:val="false"/>
          <w:color w:val="000000"/>
          <w:sz w:val="24"/>
        </w:rPr>
        <w:t>. Capitalized terms used, but not otherwise defined, in this Agreement will have the meanings given to such terms in the Plan. As used in this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“Cause” (or a term of substantively similar meaning) as defined in an individual employment or consulting agreement in effect as of the Date of Grant between the Participant and the Company or any Subsidiary (a “</w:t>
      </w:r>
      <w:r>
        <w:rPr>
          <w:rFonts w:ascii="Times New Roman;serif" w:hAnsi="Times New Roman;serif"/>
          <w:b w:val="false"/>
          <w:color w:val="000000"/>
          <w:sz w:val="24"/>
          <w:u w:val="single"/>
        </w:rPr>
        <w:t>Service Agreement</w:t>
      </w:r>
      <w:r>
        <w:rPr>
          <w:color w:val="000000"/>
        </w:rPr>
        <w:t>”</w:t>
      </w:r>
      <w:r>
        <w:rPr>
          <w:rFonts w:ascii="Times New Roman;serif" w:hAnsi="Times New Roman;serif"/>
          <w:b w:val="false"/>
          <w:color w:val="000000"/>
          <w:sz w:val="24"/>
        </w:rPr>
        <w:t>) or as set forth in a severance plan in which the Participant participates as of the Date of Grant, if any, in each case, or, if the Participant does not have a Service Agreement or participate in such executive severance plan as of the Date of Grant (or such Service Agreement or plan does not define “Cause”), then “Cause” shall mean (i) the Participant’s commission of, conviction for, or plea of guilty or nolo contendere to, a felony or a crime involving moral turpitude, or other material act or omission involving dishonesty or fraud, (ii) the Participant’s conduct that results in or is reasonably likely to result in harm to the reputation or business of the Company or any of its affiliates in any material way, (iii) the Participant’s material failure to perform duties as reasonably directed by the Company or the Participant’s material violation of any rule, regulation, policy or plan for the conduct of any service provider to the Company or its affiliates or its or their business (which, if curable, is not cured within 30 days after notice thereof is provided to the Participant) or (iv) the Participant’s gross negligence, willful malfeasance or material act of disloyalty with respect to the Company or its affiliates.</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(or similar terms) shall mean a circumstance in which the Participant is unable to perform the Participant’s duties to the Company or its affiliates by reason of any medically determinable physical or mental impairment which can be expected to result in death or which has lasted or can reasonably be expected to last for a continuous period of not less than six months.</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have the meaning set forth in the Participant’s Service Agreement or set forth in a severance plan in which the Participant participates as of the Date of Grant, if any, or, if the Participant does not have a Service Agreement or participate in such severance plan as of the Date of Grant (or such Service Agreement or plan does not define “Good Reason”), then “Good Reason” shall mean the occurrence of any of the following events without the Participant’s express written consent: (i) an involuntary material reduction in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70255"/>
                <wp:effectExtent l="0" t="0" r="0" b="0"/>
                <wp:wrapNone/>
                <wp:docPr id="56" name="Frame56"/>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then-current base salary or base pay; (ii) a material diminution in the Participant’s authority, duties or responsibilities; (iii) a mandatory relocation of the Participant’s primary work location to a location more than 50 miles from the Participant’s work location as of the date of this Agreement; or (iv) a material breach by the Company of the terms of this Agreement or any other material agreement with the Participant. To terminate the Participant’s service for Good Reason, the Participant must provide written notice to the Company of the existence of the circumstances providing grounds for termination for Good Reason within 90 days of the initial existence of such grounds and the Company must have at least 30 days from the date on which such notice is provided to cure such circumstances. If the Participant does not terminate the Participant’s service for Good Reason within 30 days after the expiration of the Company’s cure period, then the Participant will be deemed to have waived the Participant’s right to terminate for Good Reason with respect to such grounds.</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Grant of RSUs</w:t>
      </w:r>
      <w:r>
        <w:rPr>
          <w:rFonts w:ascii="Times New Roman;serif" w:hAnsi="Times New Roman;serif"/>
          <w:b w:val="false"/>
          <w:color w:val="000000"/>
          <w:sz w:val="24"/>
        </w:rPr>
        <w:t>. Subject to and upon the terms, conditions and restrictions set forth in this Agreement and in the Plan, the Company has granted to the Participant, as of the Date of Grant, the number of</w:t>
      </w:r>
      <w:r>
        <w:rPr>
          <w:color w:val="000000"/>
        </w:rPr>
        <w:t xml:space="preserve"> </w:t>
      </w:r>
      <w:r>
        <w:rPr>
          <w:rFonts w:ascii="Times New Roman;serif" w:hAnsi="Times New Roman;serif"/>
          <w:b w:val="false"/>
          <w:color w:val="000000"/>
          <w:sz w:val="24"/>
        </w:rPr>
        <w:t xml:space="preserve">RSUs set forth in the Grant Notice. Each RSU shall represent the right of the Participant to receive one share of Common Stock subject to and upon the terms and conditions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Restrictions on Transfer of RSUs</w:t>
      </w:r>
      <w:r>
        <w:rPr>
          <w:rFonts w:ascii="Times New Roman;serif" w:hAnsi="Times New Roman;serif"/>
          <w:b w:val="false"/>
          <w:color w:val="000000"/>
          <w:sz w:val="24"/>
        </w:rPr>
        <w:t xml:space="preserve">. Subject to Section 15 of the Plan, neither the RSUs evidenced hereby nor any interest therein or in the shares of Common Stock underlying such RSUs shall be transferable prior to payment to the Participant pursuant to </w:t>
      </w:r>
      <w:r>
        <w:rPr>
          <w:rFonts w:ascii="Times New Roman;serif" w:hAnsi="Times New Roman;serif"/>
          <w:b/>
          <w:color w:val="000000"/>
          <w:sz w:val="24"/>
          <w:u w:val="single"/>
        </w:rPr>
        <w:t>Section 6</w:t>
      </w:r>
      <w:r>
        <w:rPr>
          <w:color w:val="000000"/>
        </w:rPr>
        <w:t xml:space="preserve"> </w:t>
      </w:r>
      <w:r>
        <w:rPr>
          <w:rFonts w:ascii="Times New Roman;serif" w:hAnsi="Times New Roman;serif"/>
          <w:b w:val="false"/>
          <w:color w:val="000000"/>
          <w:sz w:val="24"/>
        </w:rPr>
        <w:t>hereof other than by will or pursuant to the laws of descent and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Vesting of RSUs</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(a)The RSUs shall vest in accordance with the Vesting Schedule set forth in the Grant Notice (the period from the Date of Grant until the last applicable vesting date, the “</w:t>
      </w:r>
      <w:r>
        <w:rPr>
          <w:rFonts w:ascii="Times New Roman;serif" w:hAnsi="Times New Roman;serif"/>
          <w:b w:val="false"/>
          <w:color w:val="000000"/>
          <w:sz w:val="24"/>
          <w:u w:val="single"/>
        </w:rPr>
        <w:t>Vesting Period</w:t>
      </w:r>
      <w:r>
        <w:rPr>
          <w:color w:val="000000"/>
        </w:rPr>
        <w:t>”</w:t>
      </w:r>
      <w:r>
        <w:rPr>
          <w:rFonts w:ascii="Times New Roman;serif" w:hAnsi="Times New Roman;serif"/>
          <w:b w:val="false"/>
          <w:color w:val="000000"/>
          <w:sz w:val="24"/>
        </w:rPr>
        <w:t xml:space="preserve">). Any RSUs that do not so become vested will be forfeited, including, except as provided in </w:t>
      </w:r>
      <w:r>
        <w:rPr>
          <w:rFonts w:ascii="Times New Roman;serif" w:hAnsi="Times New Roman;serif"/>
          <w:b/>
          <w:color w:val="000000"/>
          <w:sz w:val="24"/>
          <w:u w:val="single"/>
        </w:rPr>
        <w:t>Sections</w:t>
      </w:r>
      <w:r>
        <w:rPr>
          <w:color w:val="000000"/>
        </w:rPr>
        <w:t xml:space="preserve"> </w:t>
      </w:r>
      <w:r>
        <w:rPr>
          <w:rFonts w:ascii="Times New Roman;serif" w:hAnsi="Times New Roman;serif"/>
          <w:b/>
          <w:color w:val="000000"/>
          <w:sz w:val="24"/>
          <w:u w:val="single"/>
        </w:rPr>
        <w:t>4(b)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u w:val="single"/>
        </w:rPr>
        <w:t>4(c)</w:t>
      </w:r>
      <w:r>
        <w:rPr>
          <w:color w:val="000000"/>
        </w:rPr>
        <w:t xml:space="preserve"> </w:t>
      </w:r>
      <w:r>
        <w:rPr>
          <w:rFonts w:ascii="Times New Roman;serif" w:hAnsi="Times New Roman;serif"/>
          <w:b w:val="false"/>
          <w:color w:val="000000"/>
          <w:sz w:val="24"/>
        </w:rPr>
        <w:t xml:space="preserve">below, if the Participant ceases to provide continuous service to the Company or a Subsidiary for any reason prior to the end of the Vesting Period. For purposes of this Agreement, “continuous service” (or substantially similar terms) means the absence of any interruption or termination of the Participant’s employment, consulting or Board member relationship, as applicable, with the Company or a Subsidiary. Continuous service shall not be considered interrupted or terminated in the case of transfers between locations of the Company and its Subsidiaries or transfers among employment, consulting and Board member relationship. </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(b)Notwithstanding </w:t>
      </w:r>
      <w:r>
        <w:rPr>
          <w:rFonts w:ascii="Times New Roman;serif" w:hAnsi="Times New Roman;serif"/>
          <w:b/>
          <w:color w:val="000000"/>
          <w:sz w:val="24"/>
          <w:u w:val="single"/>
        </w:rPr>
        <w:t>Section 4(a)</w:t>
      </w:r>
      <w:r>
        <w:rPr>
          <w:color w:val="000000"/>
        </w:rPr>
        <w:t xml:space="preserve"> </w:t>
      </w:r>
      <w:r>
        <w:rPr>
          <w:rFonts w:ascii="Times New Roman;serif" w:hAnsi="Times New Roman;serif"/>
          <w:b w:val="false"/>
          <w:color w:val="000000"/>
          <w:sz w:val="24"/>
        </w:rPr>
        <w:t>above, upon the Participant’s death or Disability, in each case prior to the end of the Vesting Period, the RSUs (to the extent not previously forfeited) shall vest in full.</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(c)Notwithstanding </w:t>
      </w:r>
      <w:r>
        <w:rPr>
          <w:rFonts w:ascii="Times New Roman;serif" w:hAnsi="Times New Roman;serif"/>
          <w:b/>
          <w:color w:val="000000"/>
          <w:sz w:val="24"/>
          <w:u w:val="single"/>
        </w:rPr>
        <w:t>Section 4(a)</w:t>
      </w:r>
      <w:r>
        <w:rPr>
          <w:color w:val="000000"/>
        </w:rPr>
        <w:t xml:space="preserve"> </w:t>
      </w:r>
      <w:r>
        <w:rPr>
          <w:rFonts w:ascii="Times New Roman;serif" w:hAnsi="Times New Roman;serif"/>
          <w:b w:val="false"/>
          <w:color w:val="000000"/>
          <w:sz w:val="24"/>
        </w:rPr>
        <w:t xml:space="preserve">above, in the event of a Change in Control that occurs prior to the end of the Vesting Period, the RSUs (to the extent not previously forfeited) shall become vested and payable in accordance with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below.</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41680"/>
                <wp:effectExtent l="0" t="0" r="0" b="0"/>
                <wp:wrapNone/>
                <wp:docPr id="57" name="Frame57"/>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Effect of a Change in Control</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(a)Notwithstanding </w:t>
      </w:r>
      <w:r>
        <w:rPr>
          <w:rFonts w:ascii="Times New Roman;serif" w:hAnsi="Times New Roman;serif"/>
          <w:b/>
          <w:color w:val="000000"/>
          <w:sz w:val="24"/>
          <w:u w:val="single"/>
        </w:rPr>
        <w:t>Section 4(a)</w:t>
      </w:r>
      <w:r>
        <w:rPr>
          <w:color w:val="000000"/>
        </w:rPr>
        <w:t xml:space="preserve"> </w:t>
      </w:r>
      <w:r>
        <w:rPr>
          <w:rFonts w:ascii="Times New Roman;serif" w:hAnsi="Times New Roman;serif"/>
          <w:b w:val="false"/>
          <w:color w:val="000000"/>
          <w:sz w:val="24"/>
        </w:rPr>
        <w:t xml:space="preserve">above, if at any time before the end of the Vesting Period or forfeiture of the RSUs, and while the Participant is continuously providing service to the Company or a Subsidiary, a Change in Control occurs, then all of the RSUs will become vested, except to the extent that a Replacement Award is provided to the Participant in accordance with </w:t>
      </w:r>
      <w:r>
        <w:rPr>
          <w:rFonts w:ascii="Times New Roman;serif" w:hAnsi="Times New Roman;serif"/>
          <w:b/>
          <w:color w:val="000000"/>
          <w:sz w:val="24"/>
          <w:u w:val="single"/>
        </w:rPr>
        <w:t>Section 5(b)</w:t>
      </w:r>
      <w:r>
        <w:rPr>
          <w:color w:val="000000"/>
        </w:rPr>
        <w:t xml:space="preserve"> </w:t>
      </w:r>
      <w:r>
        <w:rPr>
          <w:rFonts w:ascii="Times New Roman;serif" w:hAnsi="Times New Roman;serif"/>
          <w:b w:val="false"/>
          <w:color w:val="000000"/>
          <w:sz w:val="24"/>
        </w:rPr>
        <w:t>to continue, replace or assume the RSUs covered by this Agreement (the “</w:t>
      </w:r>
      <w:r>
        <w:rPr>
          <w:rFonts w:ascii="Times New Roman;serif" w:hAnsi="Times New Roman;serif"/>
          <w:b w:val="false"/>
          <w:color w:val="000000"/>
          <w:sz w:val="24"/>
          <w:u w:val="single"/>
        </w:rPr>
        <w:t>Replaced Award</w:t>
      </w:r>
      <w:r>
        <w:rPr>
          <w:color w:val="000000"/>
        </w:rPr>
        <w:t>”</w:t>
      </w:r>
      <w:r>
        <w:rPr>
          <w:rFonts w:ascii="Times New Roman;serif" w:hAnsi="Times New Roman;serif"/>
          <w:b w:val="false"/>
          <w:color w:val="000000"/>
          <w:sz w:val="24"/>
        </w:rPr>
        <w:t>) immediately prior to (and contingent upon) the Change in Control.</w:t>
      </w:r>
    </w:p>
    <w:p>
      <w:pPr>
        <w:pStyle w:val="TextBody"/>
        <w:bidi w:val="0"/>
        <w:spacing w:lineRule="auto" w:line="240" w:before="0" w:after="240"/>
        <w:ind w:left="0" w:right="0" w:hanging="720"/>
        <w:jc w:val="both"/>
        <w:rPr/>
      </w:pPr>
      <w:r>
        <w:rPr>
          <w:rFonts w:ascii="Times New Roman;serif" w:hAnsi="Times New Roman;serif"/>
          <w:b w:val="false"/>
          <w:color w:val="000000"/>
          <w:sz w:val="24"/>
        </w:rPr>
        <w:t>(b)For purposes of this Agreement, a “</w:t>
      </w:r>
      <w:r>
        <w:rPr>
          <w:rFonts w:ascii="Times New Roman;serif" w:hAnsi="Times New Roman;serif"/>
          <w:b w:val="false"/>
          <w:color w:val="000000"/>
          <w:sz w:val="24"/>
          <w:u w:val="single"/>
        </w:rPr>
        <w:t>Replacement Award</w:t>
      </w:r>
      <w:r>
        <w:rPr>
          <w:color w:val="000000"/>
        </w:rPr>
        <w:t xml:space="preserve">” </w:t>
      </w:r>
      <w:r>
        <w:rPr>
          <w:rFonts w:ascii="Times New Roman;serif" w:hAnsi="Times New Roman;serif"/>
          <w:b w:val="false"/>
          <w:color w:val="000000"/>
          <w:sz w:val="24"/>
        </w:rPr>
        <w:t>means an award (i) of the same type (</w:t>
      </w:r>
      <w:r>
        <w:rPr>
          <w:rFonts w:ascii="Times New Roman;serif" w:hAnsi="Times New Roman;serif"/>
          <w:b w:val="false"/>
          <w:i/>
          <w:color w:val="000000"/>
          <w:sz w:val="24"/>
        </w:rPr>
        <w:t>e.g</w:t>
      </w:r>
      <w:r>
        <w:rPr>
          <w:rFonts w:ascii="Times New Roman;serif" w:hAnsi="Times New Roman;serif"/>
          <w:b w:val="false"/>
          <w:color w:val="000000"/>
          <w:sz w:val="24"/>
        </w:rPr>
        <w:t>., time-based restricted stock units)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consequences of which to such Participant under the Code are not less favorable to such Participant than the tax consequences of the Replaced Award, and (v) the other terms and conditions of which are not less favorable to the Participant holding the Replaced Award than the terms and conditions of the Replaced Award (including the provisions that would apply in the event of a subsequent termination of service or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paragraph are satisfied will be made by the Board or Committee, as constituted immediately before the Change in Control, in its sole discretion.</w:t>
      </w:r>
    </w:p>
    <w:p>
      <w:pPr>
        <w:pStyle w:val="TextBody"/>
        <w:bidi w:val="0"/>
        <w:spacing w:lineRule="auto" w:line="240" w:before="0" w:after="240"/>
        <w:ind w:left="0" w:right="0" w:hanging="720"/>
        <w:jc w:val="both"/>
        <w:rPr/>
      </w:pPr>
      <w:r>
        <w:rPr>
          <w:rFonts w:ascii="Times New Roman;serif" w:hAnsi="Times New Roman;serif"/>
          <w:b w:val="false"/>
          <w:color w:val="000000"/>
          <w:sz w:val="24"/>
        </w:rPr>
        <w:t>(c)If, within two (2) years after receiving a Replacement Award, the Participant experiences a termination of service with the Company or a Subsidiary (or any of their successors) (as applicable, the “</w:t>
      </w:r>
      <w:r>
        <w:rPr>
          <w:rFonts w:ascii="Times New Roman;serif" w:hAnsi="Times New Roman;serif"/>
          <w:b w:val="false"/>
          <w:color w:val="000000"/>
          <w:sz w:val="24"/>
          <w:u w:val="single"/>
        </w:rPr>
        <w:t>Successor</w:t>
      </w:r>
      <w:r>
        <w:rPr>
          <w:color w:val="000000"/>
        </w:rPr>
        <w:t>”</w:t>
      </w:r>
      <w:r>
        <w:rPr>
          <w:rFonts w:ascii="Times New Roman;serif" w:hAnsi="Times New Roman;serif"/>
          <w:b w:val="false"/>
          <w:color w:val="000000"/>
          <w:sz w:val="24"/>
        </w:rPr>
        <w:t>) by reason of a termination by the Successor without Cause or by the Participant for Good Reason during the remaining vesting period for the Replacement Award, the Replacement Award shall immediately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Form and Time of Payment of RSUs</w:t>
      </w:r>
      <w:r>
        <w:rPr>
          <w:rFonts w:ascii="Times New Roman;serif" w:hAnsi="Times New Roman;serif"/>
          <w:b w:val="false"/>
          <w:color w:val="000000"/>
          <w:sz w:val="24"/>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(a)Payment for the RSUs, after and to the extent they have become vested, shall be made in the form of one share of Common Stock for each vested RSU. Payment shall be made no later than March 15 of the calendar year following the calendar year in which the date that the RSUs become vested pursuant to </w:t>
      </w:r>
      <w:r>
        <w:rPr>
          <w:rFonts w:ascii="Times New Roman;serif" w:hAnsi="Times New Roman;serif"/>
          <w:b/>
          <w:color w:val="000000"/>
          <w:sz w:val="24"/>
          <w:u w:val="single"/>
        </w:rPr>
        <w:t>Section 4</w:t>
      </w:r>
      <w:r>
        <w:rPr>
          <w:color w:val="000000"/>
        </w:rPr>
        <w:t xml:space="preserve"> </w:t>
      </w:r>
      <w:r>
        <w:rPr>
          <w:rFonts w:ascii="Times New Roman;serif" w:hAnsi="Times New Roman;serif"/>
          <w:b w:val="false"/>
          <w:color w:val="000000"/>
          <w:sz w:val="24"/>
        </w:rPr>
        <w:t xml:space="preserve">hereof.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(b)In all events, payment for the RSUs (to the extent vested) shall be made within the short-term deferral period for purposes of Section 409A of the Code.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(c)The Company’s obligations to the Participant with respect to the RSUs will be satisfied in full upon the issuance of shares of Common Stock corresponding to such RSUs.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41680"/>
                <wp:effectExtent l="0" t="0" r="0" b="0"/>
                <wp:wrapNone/>
                <wp:docPr id="58" name="Frame58"/>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Dividend Equivalents; Voting and Other Rights</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(a)The Participant shall have no rights of ownership in the shares of Common Stock underlying the RSUs and no right to vote the shares of Common Stock underlying the RSUs until the date on which the shares of Common Stock underlying the RSUs are issued or transferred to the Participant pursuant to </w:t>
      </w:r>
      <w:r>
        <w:rPr>
          <w:rFonts w:ascii="Times New Roman;serif" w:hAnsi="Times New Roman;serif"/>
          <w:b/>
          <w:color w:val="000000"/>
          <w:sz w:val="24"/>
          <w:u w:val="single"/>
        </w:rPr>
        <w:t>Section 6</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(b)From and after the Date of Grant and until the earlier of (i) the time when the RSUs become vested and are paid in accordance with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and (ii) the time when the Participant’s right to receive shares of Common Stock in payment of the RSUs is forfeited in accordance with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hereof, on the date that the Company pays a cash dividend (if any) to holders of shares of Common Stock generally, the Participant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 are settled.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(c)The obligation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Adjustments</w:t>
      </w:r>
      <w:r>
        <w:rPr>
          <w:rFonts w:ascii="Times New Roman;serif" w:hAnsi="Times New Roman;serif"/>
          <w:b w:val="false"/>
          <w:color w:val="000000"/>
          <w:sz w:val="24"/>
        </w:rPr>
        <w:t>. The number of shares of Common Stock issuable for each RSU and the other terms and conditions of the grant evidenced by this Agreement are subject to mandatory adjustment, including as provided in Section 11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Taxes</w:t>
      </w:r>
      <w:r>
        <w:rPr>
          <w:rFonts w:ascii="Times New Roman;serif" w:hAnsi="Times New Roman;serif"/>
          <w:b w:val="false"/>
          <w:color w:val="000000"/>
          <w:sz w:val="24"/>
        </w:rPr>
        <w:t xml:space="preserve">. To the extent that the Company is required to withhold federal, state, local, or foreign taxes or other amounts in connection with any payment made or benefit realized by the Participant under this Agreement, and the amounts available to the Company for such withholding are insufficient, it shall be a condition to the receipt of such payment or the realization of such benefit that the Participant make arrangements satisfactory to the Company for payment of the balance of such taxes or other amounts required to be withheld. If the Participant’s benefit is to be received in the form of shares of Common Stock, then, unless otherwise determined by the Committee, the Company will withhold shares of Common Stock having a value equal to the amount required to be withheld. The shares of Common Stock used for tax or other withholding will be valued at an amount equal to the fair market value of such shares of Common Stock on the date the benefit is to be included in the Participant’s income. In no event will the market value of Common Stock to be withheld pursuant to this </w:t>
      </w:r>
      <w:r>
        <w:rPr>
          <w:rFonts w:ascii="Times New Roman;serif" w:hAnsi="Times New Roman;serif"/>
          <w:b/>
          <w:color w:val="000000"/>
          <w:sz w:val="24"/>
          <w:u w:val="single"/>
        </w:rPr>
        <w:t>Section 9</w:t>
      </w:r>
      <w:r>
        <w:rPr>
          <w:color w:val="000000"/>
        </w:rPr>
        <w:t xml:space="preserve"> </w:t>
      </w:r>
      <w:r>
        <w:rPr>
          <w:rFonts w:ascii="Times New Roman;serif" w:hAnsi="Times New Roman;serif"/>
          <w:b w:val="false"/>
          <w:color w:val="000000"/>
          <w:sz w:val="24"/>
        </w:rPr>
        <w:t xml:space="preserve">to satisfy applicable withholding taxes or other amounts exceed the minimum amount of taxes required to be withheld. Notwithstanding any other provision of this Agreement, the Company shall not be obligated to guarantee any particular tax result for the Participant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41680"/>
                <wp:effectExtent l="0" t="0" r="0" b="0"/>
                <wp:wrapNone/>
                <wp:docPr id="59" name="Frame59"/>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provided to the Participant hereunder, and the Participant shall be responsible for any taxes imposed on the Participant with respect to any such 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Compliance with Law</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(a)The Company shall make reasonable efforts to comply with all applicable federal and state securities laws;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notwithstanding any other provision of the Plan and this Agreement, the Company shall not be obligated to issue any shares of Common Stock pursuant to this Agreement if the issuance thereof would result in a violation of any such law.</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Compliance With Section 409A of the Code</w:t>
      </w:r>
      <w:r>
        <w:rPr>
          <w:rFonts w:ascii="Times New Roman;serif" w:hAnsi="Times New Roman;serif"/>
          <w:b w:val="false"/>
          <w:color w:val="000000"/>
          <w:sz w:val="24"/>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Notwithstanding the foregoing, the Company is not guaranteeing any particular tax outcome, and the Participant shall remain solely liable for any and all tax consequences associated with the RSUs.</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Interpretation</w:t>
      </w:r>
      <w:r>
        <w:rPr>
          <w:rFonts w:ascii="Times New Roman;serif" w:hAnsi="Times New Roman;serif"/>
          <w:b w:val="false"/>
          <w:color w:val="000000"/>
          <w:sz w:val="24"/>
        </w:rPr>
        <w:t xml:space="preserve">. Any reference in this Agreement to Section 409A of the Code will also include any proposed, temporary or final regulations, or any other guidance, promulgated with respect to such Section 409A by the U.S. Department of the Treasury or the Internal Revenue Service.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No Right to Future Awards or Service</w:t>
      </w:r>
      <w:r>
        <w:rPr>
          <w:rFonts w:ascii="Times New Roman;serif" w:hAnsi="Times New Roman;serif"/>
          <w:b/>
          <w:color w:val="000000"/>
          <w:sz w:val="24"/>
        </w:rPr>
        <w:t xml:space="preserve">. </w:t>
      </w:r>
      <w:r>
        <w:rPr>
          <w:rFonts w:ascii="Times New Roman;serif" w:hAnsi="Times New Roman;serif"/>
          <w:b w:val="false"/>
          <w:color w:val="000000"/>
          <w:sz w:val="24"/>
        </w:rPr>
        <w:t>The grant of the RSUs under this Agreement to the Participant is a voluntary, 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Participant any right to provide service or continue to provide service to the Company or any of its Subsidiaries, nor limit or affect in any manner the right of the Company or any of its Subsidiaries to terminate the service or adjust the compensation of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41680"/>
                <wp:effectExtent l="0" t="0" r="0" b="0"/>
                <wp:wrapNone/>
                <wp:docPr id="60" name="Frame60"/>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Waiver of Rights</w:t>
      </w:r>
      <w:r>
        <w:rPr>
          <w:rFonts w:ascii="Times New Roman;serif" w:hAnsi="Times New Roman;serif"/>
          <w:b w:val="false"/>
          <w:color w:val="000000"/>
          <w:sz w:val="24"/>
        </w:rPr>
        <w:t>. In consideration of the grant of RSUs under this Agreement, Participant hereby agrees that, notwithstanding any offer letter or other arrangement or understanding with the Company (whether binding or not), (a) Participant irrevocably waives any and all rights or expectation that Participant may have (pursuant to such arrangement or otherwise) to receive a new grant of any equity in any of Company’s existing or new operating companies, including each new entity in which the Company directly or indirectly acquires an interest, and (b) the provisions of such arrangement (if any) with respect to the specific terms and conditions of bonus or cash incentive compensation shall be as determined by the Board from time to time; provided that any requirement that participant remain in continuous service until the date of payment of such bonus or cash incentive compensation shall remain in effect. Such agreement is made knowingly and voluntarily.</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Relation to Other Benefits</w:t>
      </w:r>
      <w:r>
        <w:rPr>
          <w:rFonts w:ascii="Times New Roman;serif" w:hAnsi="Times New Roman;serif"/>
          <w:b w:val="false"/>
          <w:color w:val="000000"/>
          <w:sz w:val="24"/>
        </w:rPr>
        <w:t>. Any economic or other benefit to the Participant under this Agreement or the Plan shall not be taken into account in determining any benefits to which the Participant may be entitled under any other compensatory arrangement maintained by the Company or any of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Amendments</w:t>
      </w:r>
      <w:r>
        <w:rPr>
          <w:rFonts w:ascii="Times New Roman;serif" w:hAnsi="Times New Roman;serif"/>
          <w:b w:val="false"/>
          <w:color w:val="000000"/>
          <w:sz w:val="24"/>
        </w:rPr>
        <w:t xml:space="preserve">. Any amendment to the Plan shall be deemed to be an amendment to this Agreement to the extent that the amendment is applicable 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amendment shall adversely affect the rights of the Participant under this Agreement without the Participant’s written consent, and the Participant’s consent shall not be required to an amendment that is deemed necessary by the Company to ensure compliance with Section 409A of the Code or Section 10D of the Exchange Act.</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Severability</w:t>
      </w:r>
      <w:r>
        <w:rPr>
          <w:rFonts w:ascii="Times New Roman;serif" w:hAnsi="Times New Roman;serif"/>
          <w:b w:val="false"/>
          <w:color w:val="000000"/>
          <w:sz w:val="24"/>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u w:val="single"/>
        </w:rPr>
        <w:t>Relation to Plan</w:t>
      </w:r>
      <w:r>
        <w:rPr>
          <w:rFonts w:ascii="Times New Roman;serif" w:hAnsi="Times New Roman;serif"/>
          <w:b w:val="false"/>
          <w:color w:val="000000"/>
          <w:sz w:val="24"/>
        </w:rPr>
        <w:t xml:space="preserve">. The RSUs granted under this Agreement and all of the terms and conditions hereof are subject to all of the terms and 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u w:val="single"/>
        </w:rPr>
        <w:t>Clawback</w:t>
      </w:r>
      <w:r>
        <w:rPr>
          <w:rFonts w:ascii="Times New Roman;serif" w:hAnsi="Times New Roman;serif"/>
          <w:b w:val="false"/>
          <w:color w:val="000000"/>
          <w:sz w:val="24"/>
        </w:rPr>
        <w:t>. The Participant acknowledges and agrees that the terms and conditions set forth in the Innventure, Inc. Compensation Clawback Policy (as may be amended and restated from time to time, the “</w:t>
      </w:r>
      <w:r>
        <w:rPr>
          <w:rFonts w:ascii="Times New Roman;serif" w:hAnsi="Times New Roman;serif"/>
          <w:b w:val="false"/>
          <w:color w:val="000000"/>
          <w:sz w:val="24"/>
          <w:u w:val="single"/>
        </w:rPr>
        <w:t>Clawback Policy</w:t>
      </w:r>
      <w:r>
        <w:rPr>
          <w:color w:val="000000"/>
        </w:rPr>
        <w:t>”</w:t>
      </w:r>
      <w:r>
        <w:rPr>
          <w:rFonts w:ascii="Times New Roman;serif" w:hAnsi="Times New Roman;serif"/>
          <w:b w:val="false"/>
          <w:color w:val="000000"/>
          <w:sz w:val="24"/>
        </w:rPr>
        <w:t xml:space="preserve">) are incorporated in this Agreement by reference. To the extent the Clawback Policy is applicable to the Recipient, it creates additional rights for the Company with respect to applicable compensation, including, without limitation, annual cash incentive compensation and long-term incentive compensation awards granted to the Participant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the Participant to the Company to the extent the Participant is, or in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41680"/>
                <wp:effectExtent l="0" t="0" r="0" b="0"/>
                <wp:wrapNone/>
                <wp:docPr id="61" name="Frame61"/>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future becomes, subject to (i) 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RSU award under the Plan and pursuant to this Agreement, the Participant consents to be bound by the terms of the Clawback Policy, if applicable, and agrees and acknowledges that the Participant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color w:val="000000"/>
          <w:sz w:val="24"/>
          <w:u w:val="single"/>
        </w:rPr>
        <w:t>Electronic Delivery</w:t>
      </w:r>
      <w:r>
        <w:rPr>
          <w:rFonts w:ascii="Times New Roman;serif" w:hAnsi="Times New Roman;serif"/>
          <w:b w:val="false"/>
          <w:color w:val="000000"/>
          <w:sz w:val="24"/>
        </w:rPr>
        <w:t>. The Company may, in its sole discretion, deliver any documents related to the RSUs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color w:val="000000"/>
          <w:sz w:val="24"/>
          <w:u w:val="single"/>
        </w:rPr>
        <w:t>Governing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shall be governed by and construed with the internal substantive laws of the State of Delaware, without giving effect to any principle of law that would result in the application of the law of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u w:val="single"/>
        </w:rPr>
        <w:t>Successors and Assigns</w:t>
      </w:r>
      <w:r>
        <w:rPr>
          <w:rFonts w:ascii="Times New Roman;serif" w:hAnsi="Times New Roman;serif"/>
          <w:b w:val="false"/>
          <w:color w:val="000000"/>
          <w:sz w:val="24"/>
        </w:rPr>
        <w:t xml:space="preserve">. Without limiting </w:t>
      </w:r>
      <w:r>
        <w:rPr>
          <w:rFonts w:ascii="Times New Roman;serif" w:hAnsi="Times New Roman;serif"/>
          <w:b/>
          <w:color w:val="000000"/>
          <w:sz w:val="24"/>
          <w:u w:val="single"/>
        </w:rPr>
        <w:t>Section 3</w:t>
      </w:r>
      <w:r>
        <w:rPr>
          <w:color w:val="000000"/>
        </w:rPr>
        <w:t xml:space="preserve"> </w:t>
      </w:r>
      <w:r>
        <w:rPr>
          <w:rFonts w:ascii="Times New Roman;serif" w:hAnsi="Times New Roman;serif"/>
          <w:b w:val="false"/>
          <w:color w:val="000000"/>
          <w:sz w:val="24"/>
        </w:rPr>
        <w:t>hereof, the provisions of this Agreement shall inure to the benefit of, and be binding upon, the successors, administrators, heirs, legal representatives and assigns of the Participant, and the successors and assigns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rFonts w:ascii="Times New Roman;serif" w:hAnsi="Times New Roman;serif"/>
          <w:b/>
          <w:color w:val="000000"/>
          <w:sz w:val="24"/>
          <w:u w:val="single"/>
        </w:rPr>
        <w:t>Acknowledgement</w:t>
      </w:r>
      <w:r>
        <w:rPr>
          <w:rFonts w:ascii="Times New Roman;serif" w:hAnsi="Times New Roman;serif"/>
          <w:b w:val="false"/>
          <w:color w:val="000000"/>
          <w:sz w:val="24"/>
        </w:rPr>
        <w:t>. The Participant acknowledges that the Participant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24.</w:t>
      </w:r>
      <w:r>
        <w:rPr>
          <w:rFonts w:ascii="Times New Roman;serif" w:hAnsi="Times New Roman;serif"/>
          <w:b/>
          <w:color w:val="000000"/>
          <w:sz w:val="24"/>
          <w:u w:val="single"/>
        </w:rPr>
        <w:t>Counterparts</w:t>
      </w:r>
      <w:r>
        <w:rPr>
          <w:rFonts w:ascii="Times New Roman;serif" w:hAnsi="Times New Roman;serif"/>
          <w:b w:val="false"/>
          <w:color w:val="000000"/>
          <w:sz w:val="24"/>
        </w:rPr>
        <w:t xml:space="preserve">. This Agreement may be executed in one or more counterparts, each of which shall be deemed to be an original but all of which together will constitute one and the same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41680"/>
                <wp:effectExtent l="0" t="0" r="0" b="0"/>
                <wp:wrapNone/>
                <wp:docPr id="62" name="Frame62"/>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on following page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41680"/>
                <wp:effectExtent l="0" t="0" r="0" b="0"/>
                <wp:wrapNone/>
                <wp:docPr id="63" name="Frame63"/>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executed this Agreement on the day and year indicated below.</w:t>
      </w:r>
    </w:p>
    <w:p>
      <w:pPr>
        <w:pStyle w:val="TextBody"/>
        <w:bidi w:val="0"/>
        <w:spacing w:before="0" w:after="0"/>
        <w:ind w:left="0" w:right="0" w:hanging="1440"/>
        <w:jc w:val="left"/>
        <w:rPr/>
      </w:pPr>
      <w:r>
        <w:rPr/>
      </w:r>
    </w:p>
    <w:p>
      <w:pPr>
        <w:pStyle w:val="TextBody"/>
        <w:bidi w:val="0"/>
        <w:spacing w:before="0" w:after="0"/>
        <w:ind w:left="0" w:right="0" w:hanging="4320"/>
        <w:jc w:val="center"/>
        <w:rPr/>
      </w:pPr>
      <w:r>
        <w:rPr/>
      </w:r>
    </w:p>
    <w:p>
      <w:pPr>
        <w:pStyle w:val="TextBody"/>
        <w:bidi w:val="0"/>
        <w:spacing w:lineRule="auto" w:line="333"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INNVENTURE, INC.</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Participant Acknowledgment and Acceptance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Print Name:     </w:t>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240"/>
        <w:jc w:val="center"/>
        <w:rPr/>
      </w:pPr>
      <w:r>
        <w:rPr/>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70255"/>
                <wp:effectExtent l="0" t="0" r="0" b="0"/>
                <wp:wrapNone/>
                <wp:docPr id="64" name="Frame64"/>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p>
                            <w:pPr>
                              <w:pStyle w:val="TextBody"/>
                              <w:bidi w:val="0"/>
                              <w:spacing w:lineRule="atLeast" w:line="20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Gregory W. Haskell,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Innventure, Inc.;</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w:t>
      </w:r>
      <w:r>
        <w:rPr>
          <w:rFonts w:ascii="Times New Roman;serif" w:hAnsi="Times New Roman;serif"/>
          <w:b w:val="false"/>
          <w:color w:val="000000"/>
          <w:sz w:val="24"/>
          <w:u w:val="single"/>
        </w:rPr>
        <w:t>/s/ Gregory W. Haskell</w:t>
      </w:r>
      <w:r>
        <w:rPr>
          <w:color w:val="000000"/>
          <w:u w:val="single"/>
        </w:rPr>
        <w:t>                                            </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Yablunosky,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Innventure, Inc.;</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Quartlery Report of Innventure, Inc. (the “Company”) on Form 10-Q for the three months ended March 31, 2026 (the “Report”), Gregory W. Haskell, Chief Executive Officer of the Company, certifies, to the best of his knowledge, pursuant to 18 U.S.C. Section 1350, as adopted pursuant to Section 906 of the Sarbanes-Oxley Act of 2002, that: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Gregory W. Haskell</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Quartlery Report of Innventure, Inc. (the “Company”) on Form 10-Q for the three months ended March 31, 2026 (the “Report”), David Yablunosky, Chief Financial Officer of the Company, certifies, to the best of his knowledge, pursuant to 18 U.S.C. Section 1350, as adopted pursuant to Section 906 of the Sarbanes-Oxley Act of 2002, that: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1557/000114036124043179/ef20036737_ex3-1.htm" TargetMode="External"/><Relationship Id="rId3" Type="http://schemas.openxmlformats.org/officeDocument/2006/relationships/hyperlink" Target="https://www.sec.gov/Archives/edgar/data/2001557/000114036124043179/ef20036737_ex3-2.htm" TargetMode="External"/><Relationship Id="rId4" Type="http://schemas.openxmlformats.org/officeDocument/2006/relationships/hyperlink" Target="https://www.sec.gov/Archives/edgar/data/2001557/000162828025025892/inv-ex33innventureseriesbp.htm" TargetMode="External"/><Relationship Id="rId5" Type="http://schemas.openxmlformats.org/officeDocument/2006/relationships/hyperlink" Target="https://www.sec.gov/Archives/edgar/data/2001557/000114036125010165/ef20045914_ex3-1.htm" TargetMode="External"/><Relationship Id="rId6" Type="http://schemas.openxmlformats.org/officeDocument/2006/relationships/hyperlink" Target="https://www.sec.gov/Archives/edgar/data/2001557/000114036126001214/ef20063014_ex10-1.htm" TargetMode="External"/><Relationship Id="rId7" Type="http://schemas.openxmlformats.org/officeDocument/2006/relationships/hyperlink" Target="https://www.sec.gov/Archives/edgar/data/2001557/000200155726000026/a101michaelotworthemployme.htm" TargetMode="External"/><Relationship Id="rId8" Type="http://schemas.openxmlformats.org/officeDocument/2006/relationships/hyperlink" Target="https://www.sec.gov/Archives/edgar/data/2001557/000200155726000026/a101michaelotworthemployme.htm" TargetMode="External"/><Relationship Id="rId9" Type="http://schemas.openxmlformats.org/officeDocument/2006/relationships/hyperlink" Target="https://www.sec.gov/Archives/edgar/data/2001557/000200155726000026/a101michaelotworthemployme.htm" TargetMode="External"/><Relationship Id="rId10" Type="http://schemas.openxmlformats.org/officeDocument/2006/relationships/hyperlink" Target="https://www.sec.gov/Archives/edgar/data/2001557/000200155726000026/a101michaelotworthemployme.htm" TargetMode="External"/><Relationship Id="rId11" Type="http://schemas.openxmlformats.org/officeDocument/2006/relationships/hyperlink" Target="https://www.sec.gov/Archives/edgar/data/2001557/000200155726000026/a101michaelotworthemployme.htm" TargetMode="External"/><Relationship Id="rId12" Type="http://schemas.openxmlformats.org/officeDocument/2006/relationships/hyperlink" Target="https://www.sec.gov/Archives/edgar/data/2001557/000200155726000026/a101michaelotworthemployme.htm" TargetMode="External"/><Relationship Id="rId13" Type="http://schemas.openxmlformats.org/officeDocument/2006/relationships/hyperlink" Target="https://www.sec.gov/Archives/edgar/data/2001557/000200155726000026/a102johnscottemploymentagr.htm" TargetMode="External"/><Relationship Id="rId14" Type="http://schemas.openxmlformats.org/officeDocument/2006/relationships/hyperlink" Target="https://www.sec.gov/Archives/edgar/data/2001557/000200155726000026/a102johnscottemploymentagr.htm" TargetMode="External"/><Relationship Id="rId15" Type="http://schemas.openxmlformats.org/officeDocument/2006/relationships/hyperlink" Target="https://www.sec.gov/Archives/edgar/data/2001557/000200155726000026/a102johnscottemploymentagr.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23268</Words>
  <Characters>128591</Characters>
  <CharactersWithSpaces>150830</CharactersWithSpaces>
  <Paragraphs>2662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