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12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10-K</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 One)</w:t>
      </w:r>
    </w:p>
    <w:tbl>
      <w:tblPr>
        <w:tblW w:w="9972" w:type="dxa"/>
        <w:jc w:val="left"/>
        <w:tblInd w:w="0" w:type="dxa"/>
        <w:tblLayout w:type="fixed"/>
        <w:tblCellMar>
          <w:top w:w="28" w:type="dxa"/>
          <w:left w:w="28" w:type="dxa"/>
          <w:bottom w:w="28" w:type="dxa"/>
          <w:right w:w="28" w:type="dxa"/>
        </w:tblCellMar>
      </w:tblPr>
      <w:tblGrid>
        <w:gridCol w:w="124"/>
        <w:gridCol w:w="109"/>
        <w:gridCol w:w="109"/>
        <w:gridCol w:w="2821"/>
        <w:gridCol w:w="2821"/>
        <w:gridCol w:w="39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c>
          <w:tcPr>
            <w:tcW w:w="39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ingdings;sans-serif" w:hAnsi="Wingdings;sans-serif"/>
                <w:b w:val="false"/>
                <w:color w:val="000000"/>
                <w:sz w:val="20"/>
              </w:rPr>
            </w:pPr>
            <w:r>
              <w:rPr>
                <w:rFonts w:ascii="Wingdings;sans-serif" w:hAnsi="Wingdings;sans-serif"/>
                <w:b w:val="false"/>
                <w:color w:val="000000"/>
                <w:sz w:val="20"/>
              </w:rPr>
              <w:t>x</w:t>
            </w:r>
          </w:p>
        </w:tc>
        <w:tc>
          <w:tcPr>
            <w:tcW w:w="96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ANNUAL REPORT PURSUANT TO SECTION 13 OR 15(d) OF THE SECURITIES EXCHANGE ACT OF 1934 </w:t>
            </w:r>
          </w:p>
        </w:tc>
      </w:tr>
    </w:tbl>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For the fiscal year ended December 31, 2025</w: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 xml:space="preserve">For the transition period from to </w:t>
      </w:r>
    </w:p>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Commission file number 001-42303</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w:t>
      </w:r>
    </w:p>
    <w:p>
      <w:pPr>
        <w:pStyle w:val="TextBody"/>
        <w:bidi w:val="0"/>
        <w:spacing w:lineRule="auto" w:line="288" w:before="120" w:after="120"/>
        <w:ind w:left="0" w:right="0" w:firstLine="360"/>
        <w:jc w:val="center"/>
        <w:rPr>
          <w:rFonts w:ascii="Times New Roman;serif" w:hAnsi="Times New Roman;serif"/>
          <w:b/>
          <w:color w:val="000000"/>
          <w:sz w:val="36"/>
        </w:rPr>
      </w:pPr>
      <w:r>
        <w:rPr>
          <w:rFonts w:ascii="Times New Roman;serif" w:hAnsi="Times New Roman;serif"/>
          <w:b/>
          <w:color w:val="000000"/>
          <w:sz w:val="36"/>
        </w:rPr>
        <w:t>INNVENTURE,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w:t>
      </w:r>
    </w:p>
    <w:tbl>
      <w:tblPr>
        <w:tblW w:w="6584" w:type="dxa"/>
        <w:jc w:val="left"/>
        <w:tblInd w:w="0" w:type="dxa"/>
        <w:tblLayout w:type="fixed"/>
        <w:tblCellMar>
          <w:top w:w="28" w:type="dxa"/>
          <w:left w:w="28" w:type="dxa"/>
          <w:bottom w:w="28" w:type="dxa"/>
          <w:right w:w="28" w:type="dxa"/>
        </w:tblCellMar>
      </w:tblPr>
      <w:tblGrid>
        <w:gridCol w:w="1285"/>
        <w:gridCol w:w="1129"/>
        <w:gridCol w:w="1141"/>
        <w:gridCol w:w="884"/>
        <w:gridCol w:w="884"/>
        <w:gridCol w:w="1261"/>
      </w:tblGrid>
      <w:tr>
        <w:trPr/>
        <w:tc>
          <w:tcPr>
            <w:tcW w:w="1285"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93-4440048</w:t>
            </w:r>
          </w:p>
        </w:tc>
      </w:tr>
      <w:tr>
        <w:trPr/>
        <w:tc>
          <w:tcPr>
            <w:tcW w:w="35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or organization</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6900 Tavistock Lakes Blvd, Suite 400</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Orlando, Florida</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32827</w:t>
            </w:r>
          </w:p>
        </w:tc>
      </w:tr>
      <w:tr>
        <w:trPr/>
        <w:tc>
          <w:tcPr>
            <w:tcW w:w="35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(321) 209-6787</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029" w:type="dxa"/>
        <w:jc w:val="left"/>
        <w:tblInd w:w="0" w:type="dxa"/>
        <w:tblLayout w:type="fixed"/>
        <w:tblCellMar>
          <w:top w:w="28" w:type="dxa"/>
          <w:left w:w="28" w:type="dxa"/>
          <w:bottom w:w="28" w:type="dxa"/>
          <w:right w:w="28" w:type="dxa"/>
        </w:tblCellMar>
      </w:tblPr>
      <w:tblGrid>
        <w:gridCol w:w="1342"/>
        <w:gridCol w:w="1174"/>
        <w:gridCol w:w="1189"/>
        <w:gridCol w:w="539"/>
        <w:gridCol w:w="539"/>
        <w:gridCol w:w="541"/>
        <w:gridCol w:w="1085"/>
        <w:gridCol w:w="1085"/>
        <w:gridCol w:w="1535"/>
      </w:tblGrid>
      <w:tr>
        <w:trPr/>
        <w:tc>
          <w:tcPr>
            <w:tcW w:w="1342"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70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$0.0001 per share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INV</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12(g) of the Act: None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if the registrant is a well-known seasoned issuer, as defined in Rule 405 of the Securities Act.</w:t>
      </w:r>
    </w:p>
    <w:p>
      <w:pPr>
        <w:pStyle w:val="TextBody"/>
        <w:bidi w:val="0"/>
        <w:spacing w:lineRule="auto" w:line="288" w:before="0" w:after="180"/>
        <w:jc w:val="right"/>
        <w:rPr/>
      </w:pPr>
      <w:r>
        <w:rPr>
          <w:rFonts w:ascii="Times New Roman;serif" w:hAnsi="Times New Roman;serif"/>
          <w:b w:val="false"/>
          <w:color w:val="000000"/>
          <w:sz w:val="20"/>
        </w:rPr>
        <w:t xml:space="preserve">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r>
        <w:rPr>
          <w:color w:val="000000"/>
        </w:rPr>
        <w:t xml:space="preserve">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Indicate by check mark if the registrant is not required to file reports pursuant to Section 13 or Section 15(d) of the Act.</w:t>
      </w:r>
    </w:p>
    <w:p>
      <w:pPr>
        <w:pStyle w:val="TextBody"/>
        <w:bidi w:val="0"/>
        <w:spacing w:lineRule="auto" w:line="288" w:before="0" w:after="180"/>
        <w:jc w:val="right"/>
        <w:rPr/>
      </w:pPr>
      <w:r>
        <w:rPr>
          <w:rFonts w:ascii="Times New Roman;serif" w:hAnsi="Times New Roman;serif"/>
          <w:b w:val="false"/>
          <w:color w:val="000000"/>
          <w:sz w:val="20"/>
        </w:rPr>
        <w:t xml:space="preserve">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0" w:after="180"/>
        <w:jc w:val="right"/>
        <w:rPr/>
      </w:pPr>
      <w:r>
        <w:rPr>
          <w:rFonts w:ascii="Times New Roman;serif" w:hAnsi="Times New Roman;serif"/>
          <w:b w:val="false"/>
          <w:color w:val="000000"/>
          <w:sz w:val="20"/>
        </w:rPr>
        <w:t xml:space="preserve">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pStyle w:val="TextBody"/>
        <w:bidi w:val="0"/>
        <w:spacing w:lineRule="auto" w:line="288" w:before="0" w:after="180"/>
        <w:jc w:val="right"/>
        <w:rPr/>
      </w:pPr>
      <w:r>
        <w:rPr>
          <w:rFonts w:ascii="Times New Roman;serif" w:hAnsi="Times New Roman;serif"/>
          <w:b w:val="false"/>
          <w:color w:val="000000"/>
          <w:sz w:val="20"/>
        </w:rPr>
        <w:t xml:space="preserve">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620" w:type="dxa"/>
        <w:jc w:val="left"/>
        <w:tblInd w:w="0" w:type="dxa"/>
        <w:tblLayout w:type="fixed"/>
        <w:tblCellMar>
          <w:top w:w="28" w:type="dxa"/>
          <w:left w:w="28" w:type="dxa"/>
          <w:bottom w:w="28" w:type="dxa"/>
          <w:right w:w="28" w:type="dxa"/>
        </w:tblCellMar>
      </w:tblPr>
      <w:tblGrid>
        <w:gridCol w:w="695"/>
        <w:gridCol w:w="611"/>
        <w:gridCol w:w="613"/>
        <w:gridCol w:w="170"/>
        <w:gridCol w:w="170"/>
        <w:gridCol w:w="170"/>
        <w:gridCol w:w="109"/>
        <w:gridCol w:w="109"/>
        <w:gridCol w:w="109"/>
        <w:gridCol w:w="769"/>
        <w:gridCol w:w="769"/>
        <w:gridCol w:w="772"/>
        <w:gridCol w:w="162"/>
        <w:gridCol w:w="162"/>
        <w:gridCol w:w="230"/>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5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5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51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Wingdings;sans-serif" w:hAnsi="Wingdings;sans-serif"/>
                <w:b w:val="false"/>
                <w:color w:val="000000"/>
                <w:sz w:val="20"/>
              </w:rPr>
            </w:pPr>
            <w:r>
              <w:rPr>
                <w:rFonts w:ascii="Wingdings;sans-serif" w:hAnsi="Wingdings;sans-serif"/>
                <w:b w:val="false"/>
                <w:color w:val="000000"/>
                <w:sz w:val="20"/>
              </w:rPr>
              <w:t xml:space="preserve">x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55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Wingdings;sans-serif" w:hAnsi="Wingdings;sans-serif"/>
                <w:b w:val="false"/>
                <w:color w:val="000000"/>
                <w:sz w:val="20"/>
              </w:rPr>
            </w:pPr>
            <w:r>
              <w:rPr>
                <w:rFonts w:ascii="Wingdings;sans-serif" w:hAnsi="Wingdings;sans-serif"/>
                <w:b w:val="false"/>
                <w:color w:val="000000"/>
                <w:sz w:val="20"/>
              </w:rPr>
              <w:t xml:space="preserve">x </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55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Wingdings;sans-serif" w:hAnsi="Wingdings;sans-serif"/>
                <w:b w:val="false"/>
                <w:color w:val="000000"/>
                <w:sz w:val="20"/>
              </w:rPr>
            </w:pPr>
            <w:r>
              <w:rPr>
                <w:rFonts w:ascii="Wingdings;sans-serif" w:hAnsi="Wingdings;sans-serif"/>
                <w:b w:val="false"/>
                <w:color w:val="000000"/>
                <w:sz w:val="20"/>
              </w:rPr>
              <w:t>x</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lineRule="auto" w:line="288" w:before="0" w:after="180"/>
        <w:jc w:val="right"/>
        <w:rPr>
          <w:rFonts w:ascii="Wingdings;sans-serif" w:hAnsi="Wingdings;sans-serif"/>
          <w:b w:val="false"/>
          <w:color w:val="000000"/>
          <w:sz w:val="20"/>
        </w:rPr>
      </w:pPr>
      <w:r>
        <w:rPr>
          <w:rFonts w:ascii="Wingdings;sans-serif" w:hAnsi="Wingdings;sans-serif"/>
          <w:b w:val="false"/>
          <w:color w:val="000000"/>
          <w:sz w:val="20"/>
        </w:rPr>
        <w:t>o</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pStyle w:val="TextBody"/>
        <w:bidi w:val="0"/>
        <w:spacing w:lineRule="auto" w:line="288" w:before="0" w:after="180"/>
        <w:jc w:val="right"/>
        <w:rPr>
          <w:rFonts w:ascii="Wingdings;sans-serif" w:hAnsi="Wingdings;sans-serif"/>
          <w:b w:val="false"/>
          <w:color w:val="000000"/>
          <w:sz w:val="20"/>
        </w:rPr>
      </w:pPr>
      <w:r>
        <w:rPr>
          <w:rFonts w:ascii="Wingdings;sans-serif" w:hAnsi="Wingdings;sans-serif"/>
          <w:b w:val="false"/>
          <w:color w:val="000000"/>
          <w:sz w:val="20"/>
        </w:rPr>
        <w:t>x</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288" w:before="0" w:after="180"/>
        <w:jc w:val="right"/>
        <w:rPr>
          <w:rFonts w:ascii="Wingdings;sans-serif" w:hAnsi="Wingdings;sans-serif"/>
          <w:b w:val="false"/>
          <w:color w:val="000000"/>
          <w:sz w:val="20"/>
        </w:rPr>
      </w:pPr>
      <w:r>
        <w:rPr>
          <w:rFonts w:ascii="Wingdings;sans-serif" w:hAnsi="Wingdings;sans-serif"/>
          <w:b w:val="false"/>
          <w:color w:val="000000"/>
          <w:sz w:val="20"/>
        </w:rPr>
        <w:t>o</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lineRule="auto" w:line="288" w:before="0" w:after="180"/>
        <w:jc w:val="right"/>
        <w:rPr>
          <w:rFonts w:ascii="Wingdings;sans-serif" w:hAnsi="Wingdings;sans-serif"/>
          <w:b w:val="false"/>
          <w:color w:val="000000"/>
          <w:sz w:val="20"/>
        </w:rPr>
      </w:pPr>
      <w:r>
        <w:rPr>
          <w:rFonts w:ascii="Wingdings;sans-serif" w:hAnsi="Wingdings;sans-serif"/>
          <w:b w:val="false"/>
          <w:color w:val="000000"/>
          <w:sz w:val="20"/>
        </w:rPr>
        <w:t>o</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Act).</w:t>
      </w:r>
    </w:p>
    <w:p>
      <w:pPr>
        <w:pStyle w:val="TextBody"/>
        <w:bidi w:val="0"/>
        <w:spacing w:lineRule="auto" w:line="288" w:before="0" w:after="180"/>
        <w:jc w:val="right"/>
        <w:rPr/>
      </w:pPr>
      <w:r>
        <w:rPr>
          <w:rFonts w:ascii="Times New Roman;serif" w:hAnsi="Times New Roman;serif"/>
          <w:b w:val="false"/>
          <w:color w:val="000000"/>
          <w:sz w:val="20"/>
        </w:rPr>
        <w:t xml:space="preserve">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June 30, 2025, the aggregate market value of the registrant’s common stock held by non-affiliates of the registrant was approximately $126,807,206 based on a closing price of $4.80 as reported on the Nasdaq Global Market on that date. Solely for purposes of this disclosure, shares of common stock held by executive officers, directors, and beneficial holders of 10% or more of the outstanding common stock of the registrant as of such date have been excluded because such persons may be deemed to be affiliates</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of March 23, 2026, the registrant had 80,069,319 shares of common stock outstanding.</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DOCUMENTS INCORPORATED BY REFERENCE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Portions of the registrant’s Proxy Statement (the “Proxy Statement”) for the 2026 Annual Meeting of Stockholders are incorporated herein by reference in Part III of this Annual Report on Form 10-K to the extent stated herein. Such Proxy Statement will be filed with the Securities and Exchange Commission within 120 days of the registrant’s fiscal year ended December 31, 2025.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285"/>
        <w:gridCol w:w="251"/>
        <w:gridCol w:w="252"/>
        <w:gridCol w:w="2883"/>
        <w:gridCol w:w="2864"/>
        <w:gridCol w:w="2878"/>
        <w:gridCol w:w="230"/>
        <w:gridCol w:w="230"/>
        <w:gridCol w:w="332"/>
      </w:tblGrid>
      <w:tr>
        <w:trPr/>
        <w:tc>
          <w:tcPr>
            <w:tcW w:w="28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6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788" w:type="dxa"/>
            <w:gridSpan w:val="3"/>
            <w:tcBorders/>
            <w:tcMar>
              <w:top w:w="0" w:type="dxa"/>
              <w:left w:w="0" w:type="dxa"/>
              <w:bottom w:w="0" w:type="dxa"/>
              <w:right w:w="0" w:type="dxa"/>
            </w:tcMar>
            <w:vAlign w:val="center"/>
          </w:tcPr>
          <w:p>
            <w:pPr>
              <w:pStyle w:val="TableContents"/>
              <w:bidi w:val="0"/>
              <w:spacing w:before="65" w:after="20"/>
              <w:jc w:val="center"/>
              <w:rPr/>
            </w:pPr>
            <w:r>
              <w:rPr/>
            </w:r>
          </w:p>
        </w:tc>
        <w:tc>
          <w:tcPr>
            <w:tcW w:w="8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Page No.</w:t>
            </w:r>
          </w:p>
        </w:tc>
      </w:tr>
      <w:tr>
        <w:trPr/>
        <w:tc>
          <w:tcPr>
            <w:tcW w:w="9413"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w:t>
            </w:r>
          </w:p>
        </w:tc>
        <w:tc>
          <w:tcPr>
            <w:tcW w:w="792" w:type="dxa"/>
            <w:gridSpan w:val="3"/>
            <w:tcBorders>
              <w:top w:val="single" w:sz="4" w:space="0" w:color="000000"/>
            </w:tcBorders>
            <w:tcMar>
              <w:left w:w="0" w:type="dxa"/>
              <w:bottom w:w="0" w:type="dxa"/>
              <w:right w:w="0" w:type="dxa"/>
            </w:tcMar>
            <w:vAlign w:val="center"/>
          </w:tcPr>
          <w:p>
            <w:pPr>
              <w:pStyle w:val="TableContents"/>
              <w:bidi w:val="0"/>
              <w:spacing w:before="55" w:after="20"/>
              <w:jc w:val="left"/>
              <w:rPr/>
            </w:pPr>
            <w:r>
              <w:rPr/>
            </w:r>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7f7219d73d42a58f688d408612ee40_13">
              <w:r>
                <w:rPr>
                  <w:rStyle w:val="InternetLink"/>
                  <w:rFonts w:ascii="Times New Roman;serif" w:hAnsi="Times New Roman;serif"/>
                  <w:b w:val="false"/>
                  <w:strike w:val="false"/>
                  <w:dstrike w:val="false"/>
                  <w:color w:val="000000"/>
                  <w:sz w:val="20"/>
                  <w:u w:val="none"/>
                  <w:effect w:val="none"/>
                </w:rPr>
                <w:t>Item 1.</w:t>
              </w:r>
            </w:hyperlink>
          </w:p>
        </w:tc>
        <w:tc>
          <w:tcPr>
            <w:tcW w:w="86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7f7219d73d42a58f688d408612ee40_13">
              <w:r>
                <w:rPr>
                  <w:rStyle w:val="InternetLink"/>
                  <w:rFonts w:ascii="Times New Roman;serif" w:hAnsi="Times New Roman;serif"/>
                  <w:b w:val="false"/>
                  <w:strike w:val="false"/>
                  <w:dstrike w:val="false"/>
                  <w:color w:val="000000"/>
                  <w:sz w:val="20"/>
                  <w:u w:val="none"/>
                  <w:effect w:val="none"/>
                </w:rPr>
                <w:t>Business</w:t>
              </w:r>
            </w:hyperlink>
          </w:p>
        </w:tc>
        <w:tc>
          <w:tcPr>
            <w:tcW w:w="7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07f7219d73d42a58f688d408612ee40_13">
              <w:r>
                <w:rPr>
                  <w:rStyle w:val="InternetLink"/>
                  <w:rFonts w:ascii="Times New Roman;serif" w:hAnsi="Times New Roman;serif"/>
                  <w:b w:val="false"/>
                  <w:strike w:val="false"/>
                  <w:dstrike w:val="false"/>
                  <w:color w:val="000000"/>
                  <w:sz w:val="20"/>
                  <w:u w:val="none"/>
                  <w:effect w:val="none"/>
                </w:rPr>
                <w:t>7</w:t>
              </w:r>
            </w:hyperlink>
          </w:p>
        </w:tc>
      </w:tr>
      <w:tr>
        <w:trPr/>
        <w:tc>
          <w:tcPr>
            <w:tcW w:w="78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7f7219d73d42a58f688d408612ee40_16">
              <w:r>
                <w:rPr>
                  <w:rStyle w:val="InternetLink"/>
                  <w:rFonts w:ascii="Times New Roman;serif" w:hAnsi="Times New Roman;serif"/>
                  <w:b w:val="false"/>
                  <w:strike w:val="false"/>
                  <w:dstrike w:val="false"/>
                  <w:color w:val="000000"/>
                  <w:sz w:val="20"/>
                  <w:u w:val="none"/>
                  <w:effect w:val="none"/>
                </w:rPr>
                <w:t>Item 1A.</w:t>
              </w:r>
            </w:hyperlink>
          </w:p>
        </w:tc>
        <w:tc>
          <w:tcPr>
            <w:tcW w:w="86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7f7219d73d42a58f688d408612ee40_16">
              <w:r>
                <w:rPr>
                  <w:rStyle w:val="InternetLink"/>
                  <w:rFonts w:ascii="Times New Roman;serif" w:hAnsi="Times New Roman;serif"/>
                  <w:b w:val="false"/>
                  <w:strike w:val="false"/>
                  <w:dstrike w:val="false"/>
                  <w:color w:val="000000"/>
                  <w:sz w:val="20"/>
                  <w:u w:val="none"/>
                  <w:effect w:val="none"/>
                </w:rPr>
                <w:t>Risk Factors</w:t>
              </w:r>
            </w:hyperlink>
          </w:p>
        </w:tc>
        <w:tc>
          <w:tcPr>
            <w:tcW w:w="7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07f7219d73d42a58f688d408612ee40_16">
              <w:r>
                <w:rPr>
                  <w:rStyle w:val="InternetLink"/>
                  <w:rFonts w:ascii="Times New Roman;serif" w:hAnsi="Times New Roman;serif"/>
                  <w:b w:val="false"/>
                  <w:strike w:val="false"/>
                  <w:dstrike w:val="false"/>
                  <w:color w:val="000000"/>
                  <w:sz w:val="20"/>
                  <w:u w:val="none"/>
                  <w:effect w:val="none"/>
                </w:rPr>
                <w:t>25</w:t>
              </w:r>
            </w:hyperlink>
          </w:p>
        </w:tc>
      </w:tr>
      <w:tr>
        <w:trPr/>
        <w:tc>
          <w:tcPr>
            <w:tcW w:w="78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7f7219d73d42a58f688d408612ee40_19">
              <w:r>
                <w:rPr>
                  <w:rStyle w:val="InternetLink"/>
                  <w:rFonts w:ascii="Times New Roman;serif" w:hAnsi="Times New Roman;serif"/>
                  <w:b w:val="false"/>
                  <w:strike w:val="false"/>
                  <w:dstrike w:val="false"/>
                  <w:color w:val="000000"/>
                  <w:sz w:val="20"/>
                  <w:u w:val="none"/>
                  <w:effect w:val="none"/>
                </w:rPr>
                <w:t>Item 1B.</w:t>
              </w:r>
            </w:hyperlink>
          </w:p>
        </w:tc>
        <w:tc>
          <w:tcPr>
            <w:tcW w:w="86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7f7219d73d42a58f688d408612ee40_19">
              <w:r>
                <w:rPr>
                  <w:rStyle w:val="InternetLink"/>
                  <w:rFonts w:ascii="Times New Roman;serif" w:hAnsi="Times New Roman;serif"/>
                  <w:b w:val="false"/>
                  <w:strike w:val="false"/>
                  <w:dstrike w:val="false"/>
                  <w:color w:val="000000"/>
                  <w:sz w:val="20"/>
                  <w:u w:val="none"/>
                  <w:effect w:val="none"/>
                </w:rPr>
                <w:t>Unresolved Staff Comments</w:t>
              </w:r>
            </w:hyperlink>
          </w:p>
        </w:tc>
        <w:tc>
          <w:tcPr>
            <w:tcW w:w="7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07f7219d73d42a58f688d408612ee40_19">
              <w:r>
                <w:rPr>
                  <w:rStyle w:val="InternetLink"/>
                  <w:rFonts w:ascii="Times New Roman;serif" w:hAnsi="Times New Roman;serif"/>
                  <w:b w:val="false"/>
                  <w:strike w:val="false"/>
                  <w:dstrike w:val="false"/>
                  <w:color w:val="000000"/>
                  <w:sz w:val="20"/>
                  <w:u w:val="none"/>
                  <w:effect w:val="none"/>
                </w:rPr>
                <w:t>45</w:t>
              </w:r>
            </w:hyperlink>
          </w:p>
        </w:tc>
      </w:tr>
      <w:tr>
        <w:trPr/>
        <w:tc>
          <w:tcPr>
            <w:tcW w:w="78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7f7219d73d42a58f688d408612ee40_22">
              <w:r>
                <w:rPr>
                  <w:rStyle w:val="InternetLink"/>
                  <w:rFonts w:ascii="Times New Roman;serif" w:hAnsi="Times New Roman;serif"/>
                  <w:b w:val="false"/>
                  <w:color w:val="0000FF"/>
                  <w:sz w:val="20"/>
                  <w:u w:val="single"/>
                </w:rPr>
                <w:t>Item 1C.</w:t>
              </w:r>
            </w:hyperlink>
          </w:p>
        </w:tc>
        <w:tc>
          <w:tcPr>
            <w:tcW w:w="86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Cybersecurity</w:t>
            </w:r>
          </w:p>
        </w:tc>
        <w:tc>
          <w:tcPr>
            <w:tcW w:w="79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r>
      <w:tr>
        <w:trPr/>
        <w:tc>
          <w:tcPr>
            <w:tcW w:w="78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7f7219d73d42a58f688d408612ee40_25">
              <w:r>
                <w:rPr>
                  <w:rStyle w:val="InternetLink"/>
                  <w:rFonts w:ascii="Times New Roman;serif" w:hAnsi="Times New Roman;serif"/>
                  <w:b w:val="false"/>
                  <w:strike w:val="false"/>
                  <w:dstrike w:val="false"/>
                  <w:color w:val="000000"/>
                  <w:sz w:val="20"/>
                  <w:u w:val="none"/>
                  <w:effect w:val="none"/>
                </w:rPr>
                <w:t>Item 2.</w:t>
              </w:r>
            </w:hyperlink>
          </w:p>
        </w:tc>
        <w:tc>
          <w:tcPr>
            <w:tcW w:w="86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7f7219d73d42a58f688d408612ee40_25">
              <w:r>
                <w:rPr>
                  <w:rStyle w:val="InternetLink"/>
                  <w:rFonts w:ascii="Times New Roman;serif" w:hAnsi="Times New Roman;serif"/>
                  <w:b w:val="false"/>
                  <w:strike w:val="false"/>
                  <w:dstrike w:val="false"/>
                  <w:color w:val="000000"/>
                  <w:sz w:val="20"/>
                  <w:u w:val="none"/>
                  <w:effect w:val="none"/>
                </w:rPr>
                <w:t>Properties</w:t>
              </w:r>
            </w:hyperlink>
          </w:p>
        </w:tc>
        <w:tc>
          <w:tcPr>
            <w:tcW w:w="7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07f7219d73d42a58f688d408612ee40_25">
              <w:r>
                <w:rPr>
                  <w:rStyle w:val="InternetLink"/>
                  <w:rFonts w:ascii="Times New Roman;serif" w:hAnsi="Times New Roman;serif"/>
                  <w:b w:val="false"/>
                  <w:strike w:val="false"/>
                  <w:dstrike w:val="false"/>
                  <w:color w:val="000000"/>
                  <w:sz w:val="20"/>
                  <w:u w:val="none"/>
                  <w:effect w:val="none"/>
                </w:rPr>
                <w:t>47</w:t>
              </w:r>
            </w:hyperlink>
          </w:p>
        </w:tc>
      </w:tr>
      <w:tr>
        <w:trPr/>
        <w:tc>
          <w:tcPr>
            <w:tcW w:w="78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7f7219d73d42a58f688d408612ee40_28">
              <w:r>
                <w:rPr>
                  <w:rStyle w:val="InternetLink"/>
                  <w:rFonts w:ascii="Times New Roman;serif" w:hAnsi="Times New Roman;serif"/>
                  <w:b w:val="false"/>
                  <w:strike w:val="false"/>
                  <w:dstrike w:val="false"/>
                  <w:color w:val="000000"/>
                  <w:sz w:val="20"/>
                  <w:u w:val="none"/>
                  <w:effect w:val="none"/>
                </w:rPr>
                <w:t>Item 3.</w:t>
              </w:r>
            </w:hyperlink>
          </w:p>
        </w:tc>
        <w:tc>
          <w:tcPr>
            <w:tcW w:w="86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7f7219d73d42a58f688d408612ee40_28">
              <w:r>
                <w:rPr>
                  <w:rStyle w:val="InternetLink"/>
                  <w:rFonts w:ascii="Times New Roman;serif" w:hAnsi="Times New Roman;serif"/>
                  <w:b w:val="false"/>
                  <w:strike w:val="false"/>
                  <w:dstrike w:val="false"/>
                  <w:color w:val="000000"/>
                  <w:sz w:val="20"/>
                  <w:u w:val="none"/>
                  <w:effect w:val="none"/>
                </w:rPr>
                <w:t>Legal Proceedings</w:t>
              </w:r>
            </w:hyperlink>
          </w:p>
        </w:tc>
        <w:tc>
          <w:tcPr>
            <w:tcW w:w="7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07f7219d73d42a58f688d408612ee40_28">
              <w:r>
                <w:rPr>
                  <w:rStyle w:val="InternetLink"/>
                  <w:rFonts w:ascii="Times New Roman;serif" w:hAnsi="Times New Roman;serif"/>
                  <w:b w:val="false"/>
                  <w:strike w:val="false"/>
                  <w:dstrike w:val="false"/>
                  <w:color w:val="000000"/>
                  <w:sz w:val="20"/>
                  <w:u w:val="none"/>
                  <w:effect w:val="none"/>
                </w:rPr>
                <w:t>47</w:t>
              </w:r>
            </w:hyperlink>
          </w:p>
        </w:tc>
      </w:tr>
      <w:tr>
        <w:trPr/>
        <w:tc>
          <w:tcPr>
            <w:tcW w:w="78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7f7219d73d42a58f688d408612ee40_31">
              <w:r>
                <w:rPr>
                  <w:rStyle w:val="InternetLink"/>
                  <w:rFonts w:ascii="Times New Roman;serif" w:hAnsi="Times New Roman;serif"/>
                  <w:b w:val="false"/>
                  <w:strike w:val="false"/>
                  <w:dstrike w:val="false"/>
                  <w:color w:val="000000"/>
                  <w:sz w:val="20"/>
                  <w:u w:val="none"/>
                  <w:effect w:val="none"/>
                </w:rPr>
                <w:t>Item 4.</w:t>
              </w:r>
            </w:hyperlink>
          </w:p>
        </w:tc>
        <w:tc>
          <w:tcPr>
            <w:tcW w:w="86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7f7219d73d42a58f688d408612ee40_31">
              <w:r>
                <w:rPr>
                  <w:rStyle w:val="InternetLink"/>
                  <w:rFonts w:ascii="Times New Roman;serif" w:hAnsi="Times New Roman;serif"/>
                  <w:b w:val="false"/>
                  <w:strike w:val="false"/>
                  <w:dstrike w:val="false"/>
                  <w:color w:val="000000"/>
                  <w:sz w:val="20"/>
                  <w:u w:val="none"/>
                  <w:effect w:val="none"/>
                </w:rPr>
                <w:t>Mine Safety Disclosures</w:t>
              </w:r>
            </w:hyperlink>
          </w:p>
        </w:tc>
        <w:tc>
          <w:tcPr>
            <w:tcW w:w="7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07f7219d73d42a58f688d408612ee40_31">
              <w:r>
                <w:rPr>
                  <w:rStyle w:val="InternetLink"/>
                  <w:rFonts w:ascii="Times New Roman;serif" w:hAnsi="Times New Roman;serif"/>
                  <w:b w:val="false"/>
                  <w:strike w:val="false"/>
                  <w:dstrike w:val="false"/>
                  <w:color w:val="000000"/>
                  <w:sz w:val="20"/>
                  <w:u w:val="none"/>
                  <w:effect w:val="none"/>
                </w:rPr>
                <w:t>47</w:t>
              </w:r>
            </w:hyperlink>
          </w:p>
        </w:tc>
      </w:tr>
      <w:tr>
        <w:trPr/>
        <w:tc>
          <w:tcPr>
            <w:tcW w:w="9413" w:type="dxa"/>
            <w:gridSpan w:val="6"/>
            <w:tcBorders/>
            <w:tcMar>
              <w:top w:w="0" w:type="dxa"/>
              <w:left w:w="0" w:type="dxa"/>
              <w:bottom w:w="0" w:type="dxa"/>
              <w:right w:w="0" w:type="dxa"/>
            </w:tcMar>
            <w:vAlign w:val="center"/>
          </w:tcPr>
          <w:p>
            <w:pPr>
              <w:pStyle w:val="TableContents"/>
              <w:bidi w:val="0"/>
              <w:spacing w:lineRule="auto" w:line="288" w:before="0" w:after="0"/>
              <w:jc w:val="center"/>
              <w:rPr/>
            </w:pPr>
            <w:hyperlink w:anchor="i507f7219d73d42a58f688d408612ee40_34">
              <w:r>
                <w:rPr>
                  <w:rStyle w:val="InternetLink"/>
                  <w:rFonts w:ascii="Times New Roman;serif" w:hAnsi="Times New Roman;serif"/>
                  <w:b/>
                  <w:strike w:val="false"/>
                  <w:dstrike w:val="false"/>
                  <w:color w:val="000000"/>
                  <w:sz w:val="20"/>
                  <w:u w:val="none"/>
                  <w:effect w:val="none"/>
                </w:rPr>
                <w:t>PART II</w:t>
              </w:r>
            </w:hyperlink>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7f7219d73d42a58f688d408612ee40_37">
              <w:r>
                <w:rPr>
                  <w:rStyle w:val="InternetLink"/>
                  <w:rFonts w:ascii="Times New Roman;serif" w:hAnsi="Times New Roman;serif"/>
                  <w:b w:val="false"/>
                  <w:strike w:val="false"/>
                  <w:dstrike w:val="false"/>
                  <w:color w:val="000000"/>
                  <w:sz w:val="20"/>
                  <w:u w:val="none"/>
                  <w:effect w:val="none"/>
                </w:rPr>
                <w:t>Item 5.</w:t>
              </w:r>
            </w:hyperlink>
          </w:p>
        </w:tc>
        <w:tc>
          <w:tcPr>
            <w:tcW w:w="86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7f7219d73d42a58f688d408612ee40_37">
              <w:r>
                <w:rPr>
                  <w:rStyle w:val="InternetLink"/>
                  <w:rFonts w:ascii="Times New Roman;serif" w:hAnsi="Times New Roman;serif"/>
                  <w:b w:val="false"/>
                  <w:strike w:val="false"/>
                  <w:dstrike w:val="false"/>
                  <w:color w:val="000000"/>
                  <w:sz w:val="20"/>
                  <w:u w:val="none"/>
                  <w:effect w:val="none"/>
                </w:rPr>
                <w:t>Market for Registrant’s Common Equity, Related Stockholder Matters and Issuer Purchases of Equity Securities</w:t>
              </w:r>
            </w:hyperlink>
          </w:p>
        </w:tc>
        <w:tc>
          <w:tcPr>
            <w:tcW w:w="7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07f7219d73d42a58f688d408612ee40_37">
              <w:r>
                <w:rPr>
                  <w:rStyle w:val="InternetLink"/>
                  <w:rFonts w:ascii="Times New Roman;serif" w:hAnsi="Times New Roman;serif"/>
                  <w:b w:val="false"/>
                  <w:strike w:val="false"/>
                  <w:dstrike w:val="false"/>
                  <w:color w:val="000000"/>
                  <w:sz w:val="20"/>
                  <w:u w:val="none"/>
                  <w:effect w:val="none"/>
                </w:rPr>
                <w:t>48</w:t>
              </w:r>
            </w:hyperlink>
          </w:p>
        </w:tc>
      </w:tr>
      <w:tr>
        <w:trPr/>
        <w:tc>
          <w:tcPr>
            <w:tcW w:w="78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7f7219d73d42a58f688d408612ee40_40">
              <w:r>
                <w:rPr>
                  <w:rStyle w:val="InternetLink"/>
                  <w:rFonts w:ascii="Times New Roman;serif" w:hAnsi="Times New Roman;serif"/>
                  <w:b w:val="false"/>
                  <w:strike w:val="false"/>
                  <w:dstrike w:val="false"/>
                  <w:color w:val="000000"/>
                  <w:sz w:val="20"/>
                  <w:u w:val="none"/>
                  <w:effect w:val="none"/>
                </w:rPr>
                <w:t>Item 6.</w:t>
              </w:r>
            </w:hyperlink>
          </w:p>
        </w:tc>
        <w:tc>
          <w:tcPr>
            <w:tcW w:w="86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[Reserved]</w:t>
            </w:r>
          </w:p>
        </w:tc>
        <w:tc>
          <w:tcPr>
            <w:tcW w:w="7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07f7219d73d42a58f688d408612ee40_40">
              <w:r>
                <w:rPr>
                  <w:rStyle w:val="InternetLink"/>
                  <w:rFonts w:ascii="Times New Roman;serif" w:hAnsi="Times New Roman;serif"/>
                  <w:b w:val="false"/>
                  <w:strike w:val="false"/>
                  <w:dstrike w:val="false"/>
                  <w:color w:val="000000"/>
                  <w:sz w:val="20"/>
                  <w:u w:val="none"/>
                  <w:effect w:val="none"/>
                </w:rPr>
                <w:t>48</w:t>
              </w:r>
            </w:hyperlink>
          </w:p>
        </w:tc>
      </w:tr>
      <w:tr>
        <w:trPr/>
        <w:tc>
          <w:tcPr>
            <w:tcW w:w="78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7f7219d73d42a58f688d408612ee40_43">
              <w:r>
                <w:rPr>
                  <w:rStyle w:val="InternetLink"/>
                  <w:rFonts w:ascii="Times New Roman;serif" w:hAnsi="Times New Roman;serif"/>
                  <w:b w:val="false"/>
                  <w:strike w:val="false"/>
                  <w:dstrike w:val="false"/>
                  <w:color w:val="000000"/>
                  <w:sz w:val="20"/>
                  <w:u w:val="none"/>
                  <w:effect w:val="none"/>
                </w:rPr>
                <w:t>Item 7.</w:t>
              </w:r>
            </w:hyperlink>
          </w:p>
        </w:tc>
        <w:tc>
          <w:tcPr>
            <w:tcW w:w="86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7f7219d73d42a58f688d408612ee40_43">
              <w:r>
                <w:rPr>
                  <w:rStyle w:val="InternetLink"/>
                  <w:rFonts w:ascii="Times New Roman;serif" w:hAnsi="Times New Roman;serif"/>
                  <w:b w:val="false"/>
                  <w:strike w:val="false"/>
                  <w:dstrike w:val="false"/>
                  <w:color w:val="000000"/>
                  <w:sz w:val="20"/>
                  <w:u w:val="none"/>
                  <w:effect w:val="none"/>
                </w:rPr>
                <w:t>Management’s Discussion and Analysis of Financial Condition and Results of Operations</w:t>
              </w:r>
            </w:hyperlink>
          </w:p>
        </w:tc>
        <w:tc>
          <w:tcPr>
            <w:tcW w:w="7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07f7219d73d42a58f688d408612ee40_43">
              <w:r>
                <w:rPr>
                  <w:rStyle w:val="InternetLink"/>
                  <w:rFonts w:ascii="Times New Roman;serif" w:hAnsi="Times New Roman;serif"/>
                  <w:b w:val="false"/>
                  <w:strike w:val="false"/>
                  <w:dstrike w:val="false"/>
                  <w:color w:val="000000"/>
                  <w:sz w:val="20"/>
                  <w:u w:val="none"/>
                  <w:effect w:val="none"/>
                </w:rPr>
                <w:t>49</w:t>
              </w:r>
            </w:hyperlink>
          </w:p>
        </w:tc>
      </w:tr>
      <w:tr>
        <w:trPr/>
        <w:tc>
          <w:tcPr>
            <w:tcW w:w="78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7f7219d73d42a58f688d408612ee40_67">
              <w:r>
                <w:rPr>
                  <w:rStyle w:val="InternetLink"/>
                  <w:rFonts w:ascii="Times New Roman;serif" w:hAnsi="Times New Roman;serif"/>
                  <w:b w:val="false"/>
                  <w:strike w:val="false"/>
                  <w:dstrike w:val="false"/>
                  <w:color w:val="000000"/>
                  <w:sz w:val="20"/>
                  <w:u w:val="none"/>
                  <w:effect w:val="none"/>
                </w:rPr>
                <w:t>Item 7A.</w:t>
              </w:r>
            </w:hyperlink>
          </w:p>
        </w:tc>
        <w:tc>
          <w:tcPr>
            <w:tcW w:w="86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7f7219d73d42a58f688d408612ee40_67">
              <w:r>
                <w:rPr>
                  <w:rStyle w:val="InternetLink"/>
                  <w:rFonts w:ascii="Times New Roman;serif" w:hAnsi="Times New Roman;serif"/>
                  <w:b w:val="false"/>
                  <w:strike w:val="false"/>
                  <w:dstrike w:val="false"/>
                  <w:color w:val="000000"/>
                  <w:sz w:val="20"/>
                  <w:u w:val="none"/>
                  <w:effect w:val="none"/>
                </w:rPr>
                <w:t>Quantitative and Qualitative Disclosures About Market Risk</w:t>
              </w:r>
            </w:hyperlink>
          </w:p>
        </w:tc>
        <w:tc>
          <w:tcPr>
            <w:tcW w:w="7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07f7219d73d42a58f688d408612ee40_67">
              <w:r>
                <w:rPr>
                  <w:rStyle w:val="InternetLink"/>
                  <w:rFonts w:ascii="Times New Roman;serif" w:hAnsi="Times New Roman;serif"/>
                  <w:b w:val="false"/>
                  <w:strike w:val="false"/>
                  <w:dstrike w:val="false"/>
                  <w:color w:val="000000"/>
                  <w:sz w:val="20"/>
                  <w:u w:val="none"/>
                  <w:effect w:val="none"/>
                </w:rPr>
                <w:t>61</w:t>
              </w:r>
            </w:hyperlink>
          </w:p>
        </w:tc>
      </w:tr>
      <w:tr>
        <w:trPr/>
        <w:tc>
          <w:tcPr>
            <w:tcW w:w="78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7f7219d73d42a58f688d408612ee40_70">
              <w:r>
                <w:rPr>
                  <w:rStyle w:val="InternetLink"/>
                  <w:rFonts w:ascii="Times New Roman;serif" w:hAnsi="Times New Roman;serif"/>
                  <w:b w:val="false"/>
                  <w:strike w:val="false"/>
                  <w:dstrike w:val="false"/>
                  <w:color w:val="000000"/>
                  <w:sz w:val="20"/>
                  <w:u w:val="none"/>
                  <w:effect w:val="none"/>
                </w:rPr>
                <w:t>Item 8.</w:t>
              </w:r>
            </w:hyperlink>
          </w:p>
        </w:tc>
        <w:tc>
          <w:tcPr>
            <w:tcW w:w="86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7f7219d73d42a58f688d408612ee40_70">
              <w:r>
                <w:rPr>
                  <w:rStyle w:val="InternetLink"/>
                  <w:rFonts w:ascii="Times New Roman;serif" w:hAnsi="Times New Roman;serif"/>
                  <w:b w:val="false"/>
                  <w:strike w:val="false"/>
                  <w:dstrike w:val="false"/>
                  <w:color w:val="000000"/>
                  <w:sz w:val="20"/>
                  <w:u w:val="none"/>
                  <w:effect w:val="none"/>
                </w:rPr>
                <w:t>Financial Statements and Supplementary Data</w:t>
              </w:r>
            </w:hyperlink>
          </w:p>
        </w:tc>
        <w:tc>
          <w:tcPr>
            <w:tcW w:w="7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07f7219d73d42a58f688d408612ee40_70">
              <w:r>
                <w:rPr>
                  <w:rStyle w:val="InternetLink"/>
                  <w:rFonts w:ascii="Times New Roman;serif" w:hAnsi="Times New Roman;serif"/>
                  <w:b w:val="false"/>
                  <w:strike w:val="false"/>
                  <w:dstrike w:val="false"/>
                  <w:color w:val="000000"/>
                  <w:sz w:val="20"/>
                  <w:u w:val="none"/>
                  <w:effect w:val="none"/>
                </w:rPr>
                <w:t>62</w:t>
              </w:r>
            </w:hyperlink>
          </w:p>
        </w:tc>
      </w:tr>
      <w:tr>
        <w:trPr/>
        <w:tc>
          <w:tcPr>
            <w:tcW w:w="78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7f7219d73d42a58f688d408612ee40_160">
              <w:r>
                <w:rPr>
                  <w:rStyle w:val="InternetLink"/>
                  <w:rFonts w:ascii="Times New Roman;serif" w:hAnsi="Times New Roman;serif"/>
                  <w:b w:val="false"/>
                  <w:strike w:val="false"/>
                  <w:dstrike w:val="false"/>
                  <w:color w:val="000000"/>
                  <w:sz w:val="20"/>
                  <w:u w:val="none"/>
                  <w:effect w:val="none"/>
                </w:rPr>
                <w:t>Item 9.</w:t>
              </w:r>
            </w:hyperlink>
          </w:p>
        </w:tc>
        <w:tc>
          <w:tcPr>
            <w:tcW w:w="86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7f7219d73d42a58f688d408612ee40_160">
              <w:r>
                <w:rPr>
                  <w:rStyle w:val="InternetLink"/>
                  <w:rFonts w:ascii="Times New Roman;serif" w:hAnsi="Times New Roman;serif"/>
                  <w:b w:val="false"/>
                  <w:strike w:val="false"/>
                  <w:dstrike w:val="false"/>
                  <w:color w:val="000000"/>
                  <w:sz w:val="20"/>
                  <w:u w:val="none"/>
                  <w:effect w:val="none"/>
                </w:rPr>
                <w:t>Changes in and Disagreements with Accountants On Accounting and Financial Disclosure</w:t>
              </w:r>
            </w:hyperlink>
          </w:p>
        </w:tc>
        <w:tc>
          <w:tcPr>
            <w:tcW w:w="7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07f7219d73d42a58f688d408612ee40_160">
              <w:r>
                <w:rPr>
                  <w:rStyle w:val="InternetLink"/>
                  <w:rFonts w:ascii="Times New Roman;serif" w:hAnsi="Times New Roman;serif"/>
                  <w:b w:val="false"/>
                  <w:strike w:val="false"/>
                  <w:dstrike w:val="false"/>
                  <w:color w:val="000000"/>
                  <w:sz w:val="20"/>
                  <w:u w:val="none"/>
                  <w:effect w:val="none"/>
                </w:rPr>
                <w:t>130</w:t>
              </w:r>
            </w:hyperlink>
          </w:p>
        </w:tc>
      </w:tr>
      <w:tr>
        <w:trPr/>
        <w:tc>
          <w:tcPr>
            <w:tcW w:w="78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7f7219d73d42a58f688d408612ee40_163">
              <w:r>
                <w:rPr>
                  <w:rStyle w:val="InternetLink"/>
                  <w:rFonts w:ascii="Times New Roman;serif" w:hAnsi="Times New Roman;serif"/>
                  <w:b w:val="false"/>
                  <w:strike w:val="false"/>
                  <w:dstrike w:val="false"/>
                  <w:color w:val="000000"/>
                  <w:sz w:val="20"/>
                  <w:u w:val="none"/>
                  <w:effect w:val="none"/>
                </w:rPr>
                <w:t>Item 9A.</w:t>
              </w:r>
            </w:hyperlink>
          </w:p>
        </w:tc>
        <w:tc>
          <w:tcPr>
            <w:tcW w:w="86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7f7219d73d42a58f688d408612ee40_163">
              <w:r>
                <w:rPr>
                  <w:rStyle w:val="InternetLink"/>
                  <w:rFonts w:ascii="Times New Roman;serif" w:hAnsi="Times New Roman;serif"/>
                  <w:b w:val="false"/>
                  <w:strike w:val="false"/>
                  <w:dstrike w:val="false"/>
                  <w:color w:val="000000"/>
                  <w:sz w:val="20"/>
                  <w:u w:val="none"/>
                  <w:effect w:val="none"/>
                </w:rPr>
                <w:t>Controls and Procedures</w:t>
              </w:r>
            </w:hyperlink>
          </w:p>
        </w:tc>
        <w:tc>
          <w:tcPr>
            <w:tcW w:w="7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07f7219d73d42a58f688d408612ee40_163">
              <w:r>
                <w:rPr>
                  <w:rStyle w:val="InternetLink"/>
                  <w:rFonts w:ascii="Times New Roman;serif" w:hAnsi="Times New Roman;serif"/>
                  <w:b w:val="false"/>
                  <w:strike w:val="false"/>
                  <w:dstrike w:val="false"/>
                  <w:color w:val="000000"/>
                  <w:sz w:val="20"/>
                  <w:u w:val="none"/>
                  <w:effect w:val="none"/>
                </w:rPr>
                <w:t>130</w:t>
              </w:r>
            </w:hyperlink>
          </w:p>
        </w:tc>
      </w:tr>
      <w:tr>
        <w:trPr/>
        <w:tc>
          <w:tcPr>
            <w:tcW w:w="78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7f7219d73d42a58f688d408612ee40_166">
              <w:r>
                <w:rPr>
                  <w:rStyle w:val="InternetLink"/>
                  <w:rFonts w:ascii="Times New Roman;serif" w:hAnsi="Times New Roman;serif"/>
                  <w:b w:val="false"/>
                  <w:strike w:val="false"/>
                  <w:dstrike w:val="false"/>
                  <w:color w:val="000000"/>
                  <w:sz w:val="20"/>
                  <w:u w:val="none"/>
                  <w:effect w:val="none"/>
                </w:rPr>
                <w:t>Item 9B.</w:t>
              </w:r>
            </w:hyperlink>
          </w:p>
        </w:tc>
        <w:tc>
          <w:tcPr>
            <w:tcW w:w="86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7f7219d73d42a58f688d408612ee40_166">
              <w:r>
                <w:rPr>
                  <w:rStyle w:val="InternetLink"/>
                  <w:rFonts w:ascii="Times New Roman;serif" w:hAnsi="Times New Roman;serif"/>
                  <w:b w:val="false"/>
                  <w:strike w:val="false"/>
                  <w:dstrike w:val="false"/>
                  <w:color w:val="000000"/>
                  <w:sz w:val="20"/>
                  <w:u w:val="none"/>
                  <w:effect w:val="none"/>
                </w:rPr>
                <w:t>Other Information</w:t>
              </w:r>
            </w:hyperlink>
          </w:p>
        </w:tc>
        <w:tc>
          <w:tcPr>
            <w:tcW w:w="7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07f7219d73d42a58f688d408612ee40_166">
              <w:r>
                <w:rPr>
                  <w:rStyle w:val="InternetLink"/>
                  <w:rFonts w:ascii="Times New Roman;serif" w:hAnsi="Times New Roman;serif"/>
                  <w:b w:val="false"/>
                  <w:strike w:val="false"/>
                  <w:dstrike w:val="false"/>
                  <w:color w:val="000000"/>
                  <w:sz w:val="20"/>
                  <w:u w:val="none"/>
                  <w:effect w:val="none"/>
                </w:rPr>
                <w:t>131</w:t>
              </w:r>
            </w:hyperlink>
          </w:p>
        </w:tc>
      </w:tr>
      <w:tr>
        <w:trPr/>
        <w:tc>
          <w:tcPr>
            <w:tcW w:w="78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Item 9C.</w:t>
            </w:r>
          </w:p>
        </w:tc>
        <w:tc>
          <w:tcPr>
            <w:tcW w:w="86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Disclosure Regarding Foreign Jurisdictions that Prevent Inspections</w:t>
            </w:r>
          </w:p>
        </w:tc>
        <w:tc>
          <w:tcPr>
            <w:tcW w:w="7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07f7219d73d42a58f688d408612ee40_169">
              <w:r>
                <w:rPr>
                  <w:rStyle w:val="InternetLink"/>
                  <w:rFonts w:ascii="Times New Roman;serif" w:hAnsi="Times New Roman;serif"/>
                  <w:b w:val="false"/>
                  <w:strike w:val="false"/>
                  <w:dstrike w:val="false"/>
                  <w:color w:val="000000"/>
                  <w:sz w:val="20"/>
                  <w:u w:val="none"/>
                  <w:effect w:val="none"/>
                </w:rPr>
                <w:t>132</w:t>
              </w:r>
            </w:hyperlink>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3" w:type="dxa"/>
            <w:gridSpan w:val="6"/>
            <w:tcBorders/>
            <w:tcMar>
              <w:top w:w="0" w:type="dxa"/>
              <w:left w:w="0" w:type="dxa"/>
              <w:bottom w:w="0" w:type="dxa"/>
              <w:right w:w="0" w:type="dxa"/>
            </w:tcMar>
            <w:vAlign w:val="center"/>
          </w:tcPr>
          <w:p>
            <w:pPr>
              <w:pStyle w:val="TableContents"/>
              <w:bidi w:val="0"/>
              <w:spacing w:lineRule="auto" w:line="288" w:before="0" w:after="0"/>
              <w:jc w:val="center"/>
              <w:rPr/>
            </w:pPr>
            <w:hyperlink w:anchor="i507f7219d73d42a58f688d408612ee40_172">
              <w:r>
                <w:rPr>
                  <w:rStyle w:val="InternetLink"/>
                  <w:rFonts w:ascii="Times New Roman;serif" w:hAnsi="Times New Roman;serif"/>
                  <w:b/>
                  <w:strike w:val="false"/>
                  <w:dstrike w:val="false"/>
                  <w:color w:val="000000"/>
                  <w:sz w:val="20"/>
                  <w:u w:val="none"/>
                  <w:effect w:val="none"/>
                </w:rPr>
                <w:t>PART III</w:t>
              </w:r>
            </w:hyperlink>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7f7219d73d42a58f688d408612ee40_175">
              <w:r>
                <w:rPr>
                  <w:rStyle w:val="InternetLink"/>
                  <w:rFonts w:ascii="Times New Roman;serif" w:hAnsi="Times New Roman;serif"/>
                  <w:b w:val="false"/>
                  <w:strike w:val="false"/>
                  <w:dstrike w:val="false"/>
                  <w:color w:val="000000"/>
                  <w:sz w:val="20"/>
                  <w:u w:val="none"/>
                  <w:effect w:val="none"/>
                </w:rPr>
                <w:t>Item 10.</w:t>
              </w:r>
            </w:hyperlink>
          </w:p>
        </w:tc>
        <w:tc>
          <w:tcPr>
            <w:tcW w:w="86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7f7219d73d42a58f688d408612ee40_175">
              <w:r>
                <w:rPr>
                  <w:rStyle w:val="InternetLink"/>
                  <w:rFonts w:ascii="Times New Roman;serif" w:hAnsi="Times New Roman;serif"/>
                  <w:b w:val="false"/>
                  <w:strike w:val="false"/>
                  <w:dstrike w:val="false"/>
                  <w:color w:val="000000"/>
                  <w:sz w:val="20"/>
                  <w:u w:val="none"/>
                  <w:effect w:val="none"/>
                </w:rPr>
                <w:t>Directors, Executive Officers and Corporate Governance</w:t>
              </w:r>
            </w:hyperlink>
          </w:p>
        </w:tc>
        <w:tc>
          <w:tcPr>
            <w:tcW w:w="7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07f7219d73d42a58f688d408612ee40_175">
              <w:r>
                <w:rPr>
                  <w:rStyle w:val="InternetLink"/>
                  <w:rFonts w:ascii="Times New Roman;serif" w:hAnsi="Times New Roman;serif"/>
                  <w:b w:val="false"/>
                  <w:strike w:val="false"/>
                  <w:dstrike w:val="false"/>
                  <w:color w:val="000000"/>
                  <w:sz w:val="20"/>
                  <w:u w:val="none"/>
                  <w:effect w:val="none"/>
                </w:rPr>
                <w:t>133</w:t>
              </w:r>
            </w:hyperlink>
          </w:p>
        </w:tc>
      </w:tr>
      <w:tr>
        <w:trPr/>
        <w:tc>
          <w:tcPr>
            <w:tcW w:w="78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7f7219d73d42a58f688d408612ee40_178">
              <w:r>
                <w:rPr>
                  <w:rStyle w:val="InternetLink"/>
                  <w:rFonts w:ascii="Times New Roman;serif" w:hAnsi="Times New Roman;serif"/>
                  <w:b w:val="false"/>
                  <w:strike w:val="false"/>
                  <w:dstrike w:val="false"/>
                  <w:color w:val="000000"/>
                  <w:sz w:val="20"/>
                  <w:u w:val="none"/>
                  <w:effect w:val="none"/>
                </w:rPr>
                <w:t>Item 11.</w:t>
              </w:r>
            </w:hyperlink>
          </w:p>
        </w:tc>
        <w:tc>
          <w:tcPr>
            <w:tcW w:w="86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7f7219d73d42a58f688d408612ee40_178">
              <w:r>
                <w:rPr>
                  <w:rStyle w:val="InternetLink"/>
                  <w:rFonts w:ascii="Times New Roman;serif" w:hAnsi="Times New Roman;serif"/>
                  <w:b w:val="false"/>
                  <w:strike w:val="false"/>
                  <w:dstrike w:val="false"/>
                  <w:color w:val="000000"/>
                  <w:sz w:val="20"/>
                  <w:u w:val="none"/>
                  <w:effect w:val="none"/>
                </w:rPr>
                <w:t>Executive Compensation</w:t>
              </w:r>
            </w:hyperlink>
          </w:p>
        </w:tc>
        <w:tc>
          <w:tcPr>
            <w:tcW w:w="7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07f7219d73d42a58f688d408612ee40_178">
              <w:r>
                <w:rPr>
                  <w:rStyle w:val="InternetLink"/>
                  <w:rFonts w:ascii="Times New Roman;serif" w:hAnsi="Times New Roman;serif"/>
                  <w:b w:val="false"/>
                  <w:strike w:val="false"/>
                  <w:dstrike w:val="false"/>
                  <w:color w:val="000000"/>
                  <w:sz w:val="20"/>
                  <w:u w:val="none"/>
                  <w:effect w:val="none"/>
                </w:rPr>
                <w:t>133</w:t>
              </w:r>
            </w:hyperlink>
          </w:p>
        </w:tc>
      </w:tr>
      <w:tr>
        <w:trPr/>
        <w:tc>
          <w:tcPr>
            <w:tcW w:w="78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7f7219d73d42a58f688d408612ee40_181">
              <w:r>
                <w:rPr>
                  <w:rStyle w:val="InternetLink"/>
                  <w:rFonts w:ascii="Times New Roman;serif" w:hAnsi="Times New Roman;serif"/>
                  <w:b w:val="false"/>
                  <w:strike w:val="false"/>
                  <w:dstrike w:val="false"/>
                  <w:color w:val="000000"/>
                  <w:sz w:val="20"/>
                  <w:u w:val="none"/>
                  <w:effect w:val="none"/>
                </w:rPr>
                <w:t>Item 12.</w:t>
              </w:r>
            </w:hyperlink>
          </w:p>
        </w:tc>
        <w:tc>
          <w:tcPr>
            <w:tcW w:w="86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7f7219d73d42a58f688d408612ee40_181">
              <w:r>
                <w:rPr>
                  <w:rStyle w:val="InternetLink"/>
                  <w:rFonts w:ascii="Times New Roman;serif" w:hAnsi="Times New Roman;serif"/>
                  <w:b w:val="false"/>
                  <w:strike w:val="false"/>
                  <w:dstrike w:val="false"/>
                  <w:color w:val="000000"/>
                  <w:sz w:val="20"/>
                  <w:u w:val="none"/>
                  <w:effect w:val="none"/>
                </w:rPr>
                <w:t>Security Ownership of Certain Beneficial Owners and Management and Related Stockholder Matters</w:t>
              </w:r>
            </w:hyperlink>
          </w:p>
        </w:tc>
        <w:tc>
          <w:tcPr>
            <w:tcW w:w="7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07f7219d73d42a58f688d408612ee40_181">
              <w:r>
                <w:rPr>
                  <w:rStyle w:val="InternetLink"/>
                  <w:rFonts w:ascii="Times New Roman;serif" w:hAnsi="Times New Roman;serif"/>
                  <w:b w:val="false"/>
                  <w:strike w:val="false"/>
                  <w:dstrike w:val="false"/>
                  <w:color w:val="000000"/>
                  <w:sz w:val="20"/>
                  <w:u w:val="none"/>
                  <w:effect w:val="none"/>
                </w:rPr>
                <w:t>133</w:t>
              </w:r>
            </w:hyperlink>
          </w:p>
        </w:tc>
      </w:tr>
      <w:tr>
        <w:trPr/>
        <w:tc>
          <w:tcPr>
            <w:tcW w:w="78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7f7219d73d42a58f688d408612ee40_184">
              <w:r>
                <w:rPr>
                  <w:rStyle w:val="InternetLink"/>
                  <w:rFonts w:ascii="Times New Roman;serif" w:hAnsi="Times New Roman;serif"/>
                  <w:b w:val="false"/>
                  <w:strike w:val="false"/>
                  <w:dstrike w:val="false"/>
                  <w:color w:val="000000"/>
                  <w:sz w:val="20"/>
                  <w:u w:val="none"/>
                  <w:effect w:val="none"/>
                </w:rPr>
                <w:t>Item 13.</w:t>
              </w:r>
            </w:hyperlink>
          </w:p>
        </w:tc>
        <w:tc>
          <w:tcPr>
            <w:tcW w:w="86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7f7219d73d42a58f688d408612ee40_184">
              <w:r>
                <w:rPr>
                  <w:rStyle w:val="InternetLink"/>
                  <w:rFonts w:ascii="Times New Roman;serif" w:hAnsi="Times New Roman;serif"/>
                  <w:b w:val="false"/>
                  <w:strike w:val="false"/>
                  <w:dstrike w:val="false"/>
                  <w:color w:val="000000"/>
                  <w:sz w:val="20"/>
                  <w:u w:val="none"/>
                  <w:effect w:val="none"/>
                </w:rPr>
                <w:t>Certain Relationships and Related Transactions, and Director Independence</w:t>
              </w:r>
            </w:hyperlink>
          </w:p>
        </w:tc>
        <w:tc>
          <w:tcPr>
            <w:tcW w:w="7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07f7219d73d42a58f688d408612ee40_184">
              <w:r>
                <w:rPr>
                  <w:rStyle w:val="InternetLink"/>
                  <w:rFonts w:ascii="Times New Roman;serif" w:hAnsi="Times New Roman;serif"/>
                  <w:b w:val="false"/>
                  <w:strike w:val="false"/>
                  <w:dstrike w:val="false"/>
                  <w:color w:val="000000"/>
                  <w:sz w:val="20"/>
                  <w:u w:val="none"/>
                  <w:effect w:val="none"/>
                </w:rPr>
                <w:t>133</w:t>
              </w:r>
            </w:hyperlink>
          </w:p>
        </w:tc>
      </w:tr>
      <w:tr>
        <w:trPr/>
        <w:tc>
          <w:tcPr>
            <w:tcW w:w="78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7f7219d73d42a58f688d408612ee40_187">
              <w:r>
                <w:rPr>
                  <w:rStyle w:val="InternetLink"/>
                  <w:rFonts w:ascii="Times New Roman;serif" w:hAnsi="Times New Roman;serif"/>
                  <w:b w:val="false"/>
                  <w:strike w:val="false"/>
                  <w:dstrike w:val="false"/>
                  <w:color w:val="000000"/>
                  <w:sz w:val="20"/>
                  <w:u w:val="none"/>
                  <w:effect w:val="none"/>
                </w:rPr>
                <w:t>Item 14.</w:t>
              </w:r>
            </w:hyperlink>
          </w:p>
        </w:tc>
        <w:tc>
          <w:tcPr>
            <w:tcW w:w="86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7f7219d73d42a58f688d408612ee40_187">
              <w:r>
                <w:rPr>
                  <w:rStyle w:val="InternetLink"/>
                  <w:rFonts w:ascii="Times New Roman;serif" w:hAnsi="Times New Roman;serif"/>
                  <w:b w:val="false"/>
                  <w:strike w:val="false"/>
                  <w:dstrike w:val="false"/>
                  <w:color w:val="000000"/>
                  <w:sz w:val="20"/>
                  <w:u w:val="none"/>
                  <w:effect w:val="none"/>
                </w:rPr>
                <w:t>Principal Accountant Fees and Services</w:t>
              </w:r>
            </w:hyperlink>
          </w:p>
        </w:tc>
        <w:tc>
          <w:tcPr>
            <w:tcW w:w="7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07f7219d73d42a58f688d408612ee40_187">
              <w:r>
                <w:rPr>
                  <w:rStyle w:val="InternetLink"/>
                  <w:rFonts w:ascii="Times New Roman;serif" w:hAnsi="Times New Roman;serif"/>
                  <w:b w:val="false"/>
                  <w:strike w:val="false"/>
                  <w:dstrike w:val="false"/>
                  <w:color w:val="000000"/>
                  <w:sz w:val="20"/>
                  <w:u w:val="none"/>
                  <w:effect w:val="none"/>
                </w:rPr>
                <w:t>133</w:t>
              </w:r>
            </w:hyperlink>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3" w:type="dxa"/>
            <w:gridSpan w:val="6"/>
            <w:tcBorders/>
            <w:tcMar>
              <w:top w:w="0" w:type="dxa"/>
              <w:left w:w="0" w:type="dxa"/>
              <w:bottom w:w="0" w:type="dxa"/>
              <w:right w:w="0" w:type="dxa"/>
            </w:tcMar>
            <w:vAlign w:val="center"/>
          </w:tcPr>
          <w:p>
            <w:pPr>
              <w:pStyle w:val="TableContents"/>
              <w:bidi w:val="0"/>
              <w:spacing w:lineRule="auto" w:line="288" w:before="0" w:after="0"/>
              <w:jc w:val="center"/>
              <w:rPr/>
            </w:pPr>
            <w:hyperlink w:anchor="i507f7219d73d42a58f688d408612ee40_190">
              <w:r>
                <w:rPr>
                  <w:rStyle w:val="InternetLink"/>
                  <w:rFonts w:ascii="Times New Roman;serif" w:hAnsi="Times New Roman;serif"/>
                  <w:b/>
                  <w:strike w:val="false"/>
                  <w:dstrike w:val="false"/>
                  <w:color w:val="000000"/>
                  <w:sz w:val="20"/>
                  <w:u w:val="none"/>
                  <w:effect w:val="none"/>
                </w:rPr>
                <w:t>PART IV</w:t>
              </w:r>
            </w:hyperlink>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625" w:type="dxa"/>
            <w:gridSpan w:val="3"/>
            <w:tcBorders/>
            <w:tcMar>
              <w:top w:w="0" w:type="dxa"/>
              <w:left w:w="0" w:type="dxa"/>
              <w:bottom w:w="0" w:type="dxa"/>
              <w:right w:w="0" w:type="dxa"/>
            </w:tcMar>
            <w:vAlign w:val="center"/>
          </w:tcPr>
          <w:p>
            <w:pPr>
              <w:pStyle w:val="TableContents"/>
              <w:bidi w:val="0"/>
              <w:spacing w:before="0" w:after="0"/>
              <w:ind w:left="0" w:right="0" w:hanging="245"/>
              <w:jc w:val="left"/>
              <w:rPr/>
            </w:pPr>
            <w:r>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7f7219d73d42a58f688d408612ee40_193">
              <w:r>
                <w:rPr>
                  <w:rStyle w:val="InternetLink"/>
                  <w:rFonts w:ascii="Times New Roman;serif" w:hAnsi="Times New Roman;serif"/>
                  <w:b w:val="false"/>
                  <w:strike w:val="false"/>
                  <w:dstrike w:val="false"/>
                  <w:color w:val="000000"/>
                  <w:sz w:val="20"/>
                  <w:u w:val="none"/>
                  <w:effect w:val="none"/>
                </w:rPr>
                <w:t>Item 15.</w:t>
              </w:r>
            </w:hyperlink>
          </w:p>
        </w:tc>
        <w:tc>
          <w:tcPr>
            <w:tcW w:w="86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7f7219d73d42a58f688d408612ee40_193">
              <w:r>
                <w:rPr>
                  <w:rStyle w:val="InternetLink"/>
                  <w:rFonts w:ascii="Times New Roman;serif" w:hAnsi="Times New Roman;serif"/>
                  <w:b w:val="false"/>
                  <w:strike w:val="false"/>
                  <w:dstrike w:val="false"/>
                  <w:color w:val="000000"/>
                  <w:sz w:val="20"/>
                  <w:u w:val="none"/>
                  <w:effect w:val="none"/>
                </w:rPr>
                <w:t>Exhibits and Financial Statement Schedules</w:t>
              </w:r>
            </w:hyperlink>
          </w:p>
        </w:tc>
        <w:tc>
          <w:tcPr>
            <w:tcW w:w="7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07f7219d73d42a58f688d408612ee40_193">
              <w:r>
                <w:rPr>
                  <w:rStyle w:val="InternetLink"/>
                  <w:rFonts w:ascii="Times New Roman;serif" w:hAnsi="Times New Roman;serif"/>
                  <w:b w:val="false"/>
                  <w:strike w:val="false"/>
                  <w:dstrike w:val="false"/>
                  <w:color w:val="000000"/>
                  <w:sz w:val="20"/>
                  <w:u w:val="none"/>
                  <w:effect w:val="none"/>
                </w:rPr>
                <w:t>134</w:t>
              </w:r>
            </w:hyperlink>
          </w:p>
        </w:tc>
      </w:tr>
      <w:tr>
        <w:trPr/>
        <w:tc>
          <w:tcPr>
            <w:tcW w:w="78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7f7219d73d42a58f688d408612ee40_196">
              <w:r>
                <w:rPr>
                  <w:rStyle w:val="InternetLink"/>
                  <w:rFonts w:ascii="Times New Roman;serif" w:hAnsi="Times New Roman;serif"/>
                  <w:b w:val="false"/>
                  <w:strike w:val="false"/>
                  <w:dstrike w:val="false"/>
                  <w:color w:val="000000"/>
                  <w:sz w:val="20"/>
                  <w:u w:val="none"/>
                  <w:effect w:val="none"/>
                </w:rPr>
                <w:t>Item 16.</w:t>
              </w:r>
            </w:hyperlink>
          </w:p>
        </w:tc>
        <w:tc>
          <w:tcPr>
            <w:tcW w:w="86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7f7219d73d42a58f688d408612ee40_196">
              <w:r>
                <w:rPr>
                  <w:rStyle w:val="InternetLink"/>
                  <w:rFonts w:ascii="Times New Roman;serif" w:hAnsi="Times New Roman;serif"/>
                  <w:b w:val="false"/>
                  <w:strike w:val="false"/>
                  <w:dstrike w:val="false"/>
                  <w:color w:val="000000"/>
                  <w:sz w:val="20"/>
                  <w:u w:val="none"/>
                  <w:effect w:val="none"/>
                </w:rPr>
                <w:t>Form 10-K Summary</w:t>
              </w:r>
            </w:hyperlink>
          </w:p>
        </w:tc>
        <w:tc>
          <w:tcPr>
            <w:tcW w:w="7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07f7219d73d42a58f688d408612ee40_196">
              <w:r>
                <w:rPr>
                  <w:rStyle w:val="InternetLink"/>
                  <w:rFonts w:ascii="Times New Roman;serif" w:hAnsi="Times New Roman;serif"/>
                  <w:b w:val="false"/>
                  <w:strike w:val="false"/>
                  <w:dstrike w:val="false"/>
                  <w:color w:val="000000"/>
                  <w:sz w:val="20"/>
                  <w:u w:val="none"/>
                  <w:effect w:val="none"/>
                </w:rPr>
                <w:t>138</w:t>
              </w:r>
            </w:hyperlink>
          </w:p>
        </w:tc>
      </w:tr>
      <w:tr>
        <w:trPr/>
        <w:tc>
          <w:tcPr>
            <w:tcW w:w="9413"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507f7219d73d42a58f688d408612ee40_199">
              <w:r>
                <w:rPr>
                  <w:rStyle w:val="InternetLink"/>
                  <w:rFonts w:ascii="Times New Roman;serif" w:hAnsi="Times New Roman;serif"/>
                  <w:b w:val="false"/>
                  <w:strike w:val="false"/>
                  <w:dstrike w:val="false"/>
                  <w:color w:val="000000"/>
                  <w:sz w:val="20"/>
                  <w:u w:val="none"/>
                  <w:effect w:val="none"/>
                </w:rPr>
                <w:t>Signatures</w:t>
              </w:r>
            </w:hyperlink>
          </w:p>
        </w:tc>
        <w:tc>
          <w:tcPr>
            <w:tcW w:w="7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07f7219d73d42a58f688d408612ee40_199">
              <w:r>
                <w:rPr>
                  <w:rStyle w:val="InternetLink"/>
                  <w:rFonts w:ascii="Times New Roman;serif" w:hAnsi="Times New Roman;serif"/>
                  <w:b w:val="false"/>
                  <w:strike w:val="false"/>
                  <w:dstrike w:val="false"/>
                  <w:color w:val="000000"/>
                  <w:sz w:val="20"/>
                  <w:u w:val="none"/>
                  <w:effect w:val="none"/>
                </w:rPr>
                <w:t>139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CAUTIONARY STATEMENT REGARDING FORWARD-LOOKING STATEMENTS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Unless the context requires otherwise, references in this Annual Report on Form 10-K (“Form 10-K”) to “Innventure,” the “Company,” “we,” “our” or “us” refer to Innventure, Inc. and its consolidated subsidiaries.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Form 10-K contains forward-looking statements, including statements about the Company’s business model, the financial condition, results of operations, earnings outlook and its Innventure Companies’ (as defined below) prospects. In addition, any statements that refer to projections, forecasts or other characterizations of future events or circumstances, including any underlying assumptions, are forward-looking statements. Forward-looking statements generally relate to future events or the Company’s future financial or operating performance and may refer to projections and forecasts. Forward-looking statements are often identified by future or conditional words such as “plan,” “believe,” “expect,” “anticipate,” “intend,” “outlook,” “estimate,” “forecast,” “project,” “continue,” “could,” “may,” “might,” “possible,” “will,” “potential,” “predict,” “should,” “would” and other similar words and expressions (or the negative versions of such words or expressions), but the absence of these words does not mean that a statement is not forward-looking.</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forward-looking statements are based on the current expectations of the Company’s management and are inherently subject to uncertainties and changes in circumstances and their potential effects and speak only as of the date of this Form 10-K. There can be no assurance that future developments will be those that have been anticipated. These forward-looking statements involve a number of risks, uncertainties (some of which are beyond the control of the parties) or other assumptions that may cause actual results or performance to be materially different from those expressed or implied by these forward-looking statements. The risks and uncertainties include, but are not limited to, those factors discussed and identified in other public filings made with the Securities and Exchange Commission (the “SEC”) by the Company and the following:</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 xml:space="preserve">Innventure’s and the Innventure Companies’ ability to execute on strategies and achieve future financial performance, including their respective future business plans, expansion and acquisition plans or objectives, prospective performance and opportunities and competitors, revenues, products and services, pricing, operating expenses, market trends, liquidity, cash flows and uses of cash, capital expenditures;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Innventure’s and the Innventure Companies’ ability to invest in growth initiatives;</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the implementation, market acceptance and success of Innventure’s and the Innventure Companies’ business models and growth strategies;</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Innventure’s and the Innventure Companies’ future capital requirements and sources and uses of cash;</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sustained unfavorable economic or other conditions which could require Innventure to evaluate and potentially record additional impairment charges for all, or a portion of, its goodwill and other intangible assets;</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Innventure’s ability to maintain control over the Innventure Companies;</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Innventure’s ability to meet the various conditions imposed by, and to satisfy its obligations to, WTI Fund X, Inc. and WTI Fund XI, Inc. (together, the “WTI Lenders”) under the WTI Facility (as defined below);</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Innventure’s access to funds under the Standby Equity Purchase Agreement (the “SEPA”) with YA II PN, Ltd. (“Yorkville”) due to certain conditions, restrictions and limitations set forth therein;</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certain restrictions and limitations set forth in Innventure’s and the Innventure Companies’ financing instruments, which may impair Innventure’s and the Innventure Companies’ financial and operating flexibility;</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Innventure’s and the Innventure Companies’ ability to generate liquidity and maintain sufficient capital to operate as anticipated;</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Innventure’s and the Innventure Companies’ ability to obtain funding for their operations and future growth and to continue as going concerns;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the risk that the technology solutions that Innventure and the Innventure Companies license or acquire from third parties or develop internally may not function as anticipated or provide the benefits anticipated;</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developments and projections relating to Innventure’s and the Innventure Companies’ competitors and industry;</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the ability of Innventure and the Innventure Companies to scale the operations of their respective businesses;</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the ability of Innventure and the Innventure Companies to establish substantial commercial sales of their products;</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the ability of Innventure and the Innventure Companies to compete against companies with greater capital and other resources or superior technology or products;</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Innventure and the Innventure Companies’ ability to meet, and to continue to meet, applicable regulatory requirements for the use of their respective products and the numerous regulatory requirements generally applicable to their businesses;</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the outcome of any legal proceedings against Innventure or the Innventure Companies;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Innventure’s ability to find future opportunities to license or acquire breakthrough technology solutions from Technology Solutions Providers (as defined below) and to satisfy the requirements imposed by or to avoid disagreements with its current and future Technology Solutions Providers</w:t>
      </w:r>
      <w:r>
        <w:rPr>
          <w:rFonts w:ascii="Times New Roman;serif" w:hAnsi="Times New Roman;serif"/>
          <w:b w:val="false"/>
          <w:color w:val="000000"/>
          <w:sz w:val="24"/>
        </w:rPr>
        <w:t>;</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the risk that the launch of new companies distracts Innventure’s management from its and its other subsidiaries’ operations;</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the risk that Innventure may be deemed an investment company under the Investment Company Act of 1940 (the “Investment Company Act”), which would impose burdensome compliance requirements and restrictions on its activities;</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Innventure’s ability to sufficiently protect the intellectual property (“IP”) rights of itself and its Innventure Companies, and to avoid or resolve in a timely and cost-effective manner any disputes that may arise relating to its use of the IP of third parties;</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the risk of a cyber-attack or a failure of Innventure’s information technology and data security infrastructure;</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actions by activist shareholders;</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geopolitical risk and changes in applicable laws or regulations, including with respect to foreign trade policy and tariffs;</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 xml:space="preserve">potential adverse effects of other economic, business, and/or competitive factors; </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operational risks related to Innventure and the Innventure Companies, which have limited or no operating history; and</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the limited liquidity and trading of Innventure’s securities.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Should one or more of these risks or uncertainties materialize, or should any of our assumptions prove incorrect, actual results may vary in material respects from those projected in these forward-looking statements. All forward-looking statements in this Form 10-K are made as of the date hereof, based on information available to Innventure as of the date hereof, and Innventure assumes no obligation to update any forward-looking statement, whether as a result of new information, future events or otherwise, except as may be required under applicable law.</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180"/>
        <w:ind w:left="0" w:right="0" w:firstLine="360"/>
        <w:jc w:val="left"/>
        <w:rPr/>
      </w:pPr>
      <w:r>
        <w:rPr/>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120" w:after="120"/>
        <w:jc w:val="left"/>
        <w:rPr/>
      </w:pPr>
      <w:r>
        <w:rPr/>
      </w:r>
    </w:p>
    <w:p>
      <w:pPr>
        <w:pStyle w:val="TextBody"/>
        <w:bidi w:val="0"/>
        <w:spacing w:before="120" w:after="1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PART I</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 Business.</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68" w:before="0" w:after="0"/>
        <w:ind w:left="0" w:right="0" w:firstLine="450"/>
        <w:jc w:val="both"/>
        <w:rPr/>
      </w:pPr>
      <w:r>
        <w:rPr>
          <w:rFonts w:ascii="Times New Roman;serif" w:hAnsi="Times New Roman;serif"/>
          <w:b w:val="false"/>
          <w:color w:val="000000"/>
          <w:sz w:val="20"/>
        </w:rPr>
        <w:t>Innventure is an industrial growth conglomerate that founds, funds, and operates companies with a focus on commercializing transformative, sustainable technology solutions acquired or licensed from multinational corporations (“MNCs”) or other technology innovators (collectively, “Technology Solutions Providers”) with the intent to maximize value for investors and other stakeholders through positive cash flow generated through long-term ownership of our Innventure Companies (as defined below). These Technology Solutions Providers are typically MNCs but need not be MNCs. In connection with the founding of a new company, we look to establish a collaborative relationship with at least one MNC that (1) has expressed a need for, and an interest in using or distributing, the specific technology that we intend to commercialize and (2) we expect will become a channel partner capable of providing a path to market adoption, distribution and/or revenue for the new company. This collaborating MNC, which we refer to as a channel partner, may be the entity from which we source the technology or it may be an unrelated entity. As owner-operators, our goal is to take what we believe to be breakthrough technologies that have advanced beyond proof of concept from evaluation to scaled commercialization utilizing an approach designed to help mitigate risk as we build disruptive companies that we believe have the potential to achieve a target enterprise value of at least $1 billion. When we say “disruptive,” we mean innovations that, in our opinion, have the ability to significantly change the way businesses, industries, markets, and/or consumers operate. We have launched four such companies since inception: PureCycle Technologies, Inc. (“PureCycle” or “PCT”), AeroFlexx, LLC (“AeroFlexx” or “AFX”), Accelsius Holdings LLC (“Accelsius” or “ACC”) and Refinity Olefins, LLC (“Refinity”).</w:t>
      </w:r>
      <w:r>
        <w:rPr>
          <w:color w:val="000000"/>
        </w:rPr>
        <w:t xml:space="preserve"> </w:t>
      </w:r>
      <w:r>
        <w:rPr>
          <w:rFonts w:ascii="Times New Roman;serif" w:hAnsi="Times New Roman;serif"/>
          <w:b w:val="false"/>
          <w:color w:val="000000"/>
          <w:sz w:val="20"/>
        </w:rPr>
        <w:t>PureCycle, which converts polypropylene plastic waste into like-new plastic, was launched in late 2015 after sourcing technology from The Procter &amp; Gamble Company (“P&amp;G”); AeroFlexx, which manufactures sustainable liquid packaging, was launched in 2018 after sourcing technology from P&amp;G; Accelsius, which offers two-phase, direct-to-chip liquid cooling solutions for data centers, was launched in 2022 after sourcing technology from the Nokia Corporation (“Nokia”); and Refinity, which intends to commercialize technology that transforms plastic waste into valuable chemical intermediaries, was launched in 2024 after sourcing technology from the VTT Technical Research Centre of Finland (“VTT”) and entering into a collaboration agreement with The Dow Chemical Company (“Dow”). PureCycle became a publicly traded company in 2021, and as of the date of this report, Innventure no longer has an economic interest in PureCycle. We refer to AeroFlexx, Accelsius, Refinity and all future operating subsidiary companies that Innventure may found, fund, and operate going forward as the “Innventure Companies.” We operate the Innventure Companies through a conglomerate model (the “Disruptive Conglomerate Model”) through which we operate the Innventure Companies across diverse sectors. This model is designed to mitigate the single-asset risk inherent in commercializing emerging industrial technologies by building and operating multiple Innventure Companies. Through a shared services model, we provide direct operational support to the Innventure Companies, including accounting, finance, legal, human resources and IT support.</w:t>
      </w:r>
      <w:r>
        <w:rPr>
          <w:color w:val="000000"/>
        </w:rPr>
        <w:t xml:space="preserve"> </w:t>
      </w:r>
      <w:r>
        <w:rPr>
          <w:rFonts w:ascii="Times New Roman;serif" w:hAnsi="Times New Roman;serif"/>
          <w:b w:val="false"/>
          <w:color w:val="000000"/>
          <w:sz w:val="20"/>
        </w:rPr>
        <w:t>We provide initial funding to the Innventure Companies and look to have these companies secure direct funding from third parties as they mature.</w:t>
      </w:r>
    </w:p>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Innventure’s approach to identifying and commercializing disruptive technology opportunities is designed to help mitigate the risks associated with building start-up businesses by sourcing technology from MNCs and other technology innovators. An important part of our approach is our collaboration with MNCs. These relationships assist us in identifying disruptive opportunities by giving us access to thoroughly researched and well-protected technology solutions that potentially satisfy unmet market needs, along with market data and customer insights unavailable to most new ventures. We seek MNC relationships that we believe can provide value as channel partners and serve as catalysts for market adoption of the technology solutions we look to commercialize.</w:t>
      </w:r>
    </w:p>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use our systematic, repeatable “DownSelect” process to analyze each opportunity across a range of key success factors, including: (1) the disruptive potential, (2) the likelihood for accelerated early adoption driven by economic value creation, (3) the potential to materially address sustainability issues and drive economic value for business-to-business (“B2B”) customers, (4) the ability to create sustainable competitive advantage, (5) the projected ability to generate rapid, sizable financial returns and (6) the potential to create target enterprise value of at least $1 billion. DownSelect uses MNC’s proprietary market and customer data along with our own rigorous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analytics to assess each opportunity and seeks opportunities for the MNC to help accelerate early market adoption by becoming early customers or offering channel access.</w:t>
      </w:r>
    </w:p>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DownSelect process consists of four separate phases, with successive phases building on work done in the previous phases and deepening the level of analyses done as opportunities progress through the process.</w:t>
      </w:r>
    </w:p>
    <w:p>
      <w:pPr>
        <w:pStyle w:val="TextBody"/>
        <w:bidi w:val="0"/>
        <w:spacing w:before="0" w:after="180"/>
        <w:ind w:left="0" w:right="0" w:firstLine="360"/>
        <w:jc w:val="left"/>
        <w:rPr/>
      </w:pPr>
      <w:r>
        <w:rPr/>
      </w:r>
    </w:p>
    <w:p>
      <w:pPr>
        <w:pStyle w:val="TextBody"/>
        <w:bidi w:val="0"/>
        <w:spacing w:before="120" w:after="120"/>
        <w:jc w:val="both"/>
        <w:rPr/>
      </w:pPr>
      <w:r>
        <w:rPr/>
        <w:drawing>
          <wp:inline distT="0" distB="0" distL="0" distR="0">
            <wp:extent cx="5715000" cy="1695450"/>
            <wp:effectExtent l="0" t="0" r="0" b="0"/>
            <wp:docPr id="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 descr=""/>
                    <pic:cNvPicPr>
                      <a:picLocks noChangeAspect="1" noChangeArrowheads="1"/>
                    </pic:cNvPicPr>
                  </pic:nvPicPr>
                  <pic:blipFill>
                    <a:blip r:embed="rId2"/>
                    <a:stretch>
                      <a:fillRect/>
                    </a:stretch>
                  </pic:blipFill>
                  <pic:spPr bwMode="auto">
                    <a:xfrm>
                      <a:off x="0" y="0"/>
                      <a:ext cx="5715000" cy="1695450"/>
                    </a:xfrm>
                    <a:prstGeom prst="rect">
                      <a:avLst/>
                    </a:prstGeom>
                  </pic:spPr>
                </pic:pic>
              </a:graphicData>
            </a:graphic>
          </wp:inline>
        </w:drawing>
      </w:r>
      <w:bookmarkStart w:id="0" w:name="i-1"/>
      <w:bookmarkEnd w:id="0"/>
    </w:p>
    <w:p>
      <w:pPr>
        <w:pStyle w:val="TextBody"/>
        <w:bidi w:val="0"/>
        <w:spacing w:lineRule="auto" w:line="288" w:before="120" w:after="120"/>
        <w:ind w:left="0" w:right="0" w:firstLine="360"/>
        <w:jc w:val="both"/>
        <w:rPr/>
      </w:pPr>
      <w:r>
        <w:rPr>
          <w:rFonts w:ascii="Times New Roman;serif" w:hAnsi="Times New Roman;serif"/>
          <w:b w:val="false"/>
          <w:i/>
          <w:color w:val="000000"/>
          <w:sz w:val="20"/>
        </w:rPr>
        <w:t>Phase 1 – Opportunity Screen</w:t>
      </w:r>
      <w:r>
        <w:rPr>
          <w:rFonts w:ascii="Times New Roman;serif" w:hAnsi="Times New Roman;serif"/>
          <w:b w:val="false"/>
          <w:color w:val="000000"/>
          <w:sz w:val="20"/>
        </w:rPr>
        <w:t>: Innventure’s team screens opportunities that are reflective of the four dimensions of the DownSelect Process: (1) technology developed by an MNC or other</w:t>
      </w:r>
      <w:r>
        <w:rPr>
          <w:color w:val="000000"/>
        </w:rPr>
        <w:t xml:space="preserve"> </w:t>
      </w:r>
      <w:r>
        <w:rPr>
          <w:rFonts w:ascii="Times New Roman;serif" w:hAnsi="Times New Roman;serif"/>
          <w:b w:val="false"/>
          <w:color w:val="000000"/>
          <w:sz w:val="20"/>
        </w:rPr>
        <w:t>technology innovator, (2) significant market need, (3) transformative solution and (4) strategic execution. We analyze high-level business, financial, and technology issues to determine if the opportunity meets our key success criteria.</w:t>
      </w:r>
    </w:p>
    <w:p>
      <w:pPr>
        <w:pStyle w:val="TextBody"/>
        <w:bidi w:val="0"/>
        <w:spacing w:lineRule="auto" w:line="288" w:before="120" w:after="120"/>
        <w:ind w:left="0" w:right="0" w:firstLine="360"/>
        <w:jc w:val="both"/>
        <w:rPr/>
      </w:pPr>
      <w:r>
        <w:rPr>
          <w:rFonts w:ascii="Times New Roman;serif" w:hAnsi="Times New Roman;serif"/>
          <w:b w:val="false"/>
          <w:i/>
          <w:color w:val="000000"/>
          <w:sz w:val="20"/>
        </w:rPr>
        <w:t>Phase 2 – Critical Factor Assessment</w:t>
      </w:r>
      <w:r>
        <w:rPr>
          <w:rFonts w:ascii="Times New Roman;serif" w:hAnsi="Times New Roman;serif"/>
          <w:b w:val="false"/>
          <w:color w:val="000000"/>
          <w:sz w:val="20"/>
        </w:rPr>
        <w:t>: We identify, assess, and prioritize an opportunity’s critical success and risk factors and develop a plan (to be executed in Phase 3) for in-depth systematic evaluation to quantify value, address critical factors for success of a new business built around the opportunity, and mitigate risk factors. This is an internal assessment to determine if an opportunity is sizable, transformative, and meets the minimum threshold for advancement.</w:t>
      </w:r>
    </w:p>
    <w:p>
      <w:pPr>
        <w:pStyle w:val="TextBody"/>
        <w:bidi w:val="0"/>
        <w:spacing w:lineRule="auto" w:line="288" w:before="120" w:after="120"/>
        <w:ind w:left="0" w:right="0" w:firstLine="360"/>
        <w:jc w:val="both"/>
        <w:rPr/>
      </w:pPr>
      <w:r>
        <w:rPr>
          <w:rFonts w:ascii="Times New Roman;serif" w:hAnsi="Times New Roman;serif"/>
          <w:b w:val="false"/>
          <w:i/>
          <w:color w:val="000000"/>
          <w:sz w:val="20"/>
        </w:rPr>
        <w:t>Phase 3 – Comprehensive Quantification</w:t>
      </w:r>
      <w:r>
        <w:rPr>
          <w:rFonts w:ascii="Times New Roman;serif" w:hAnsi="Times New Roman;serif"/>
          <w:b w:val="false"/>
          <w:color w:val="000000"/>
          <w:sz w:val="20"/>
        </w:rPr>
        <w:t>: The Innventure team conducts a comprehensive review across all DownSelect dimensions. A core focus is on quantitative analysis and strategy of the immediate new value created for customers. We quantify the potential economic value to the B2B customer, create a pricing model that is sufficiently compelling to predictably drive early adoption, and conduct bottoms-up, real-world testing to further validate key hypotheses, especially around enabling critical success factors and mitigating critical risks. We develop initial financials, including revenue models and capital and operating cost estimates; define preliminary organizational structures and business plans; conduct field validations, often including prospective customer interviews, pilot manufacturing and additional concept and product testing, to help validate critical assumptions.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an opportunity that successfully passes through Phase 3, the DownSelect team, in collaboration with Innventure senior leadership, recommends to the Board of Directors (the “Board”) that the opportunity move to Phase 4 and proceed to create a new Innventure Company.</w:t>
      </w:r>
    </w:p>
    <w:p>
      <w:pPr>
        <w:pStyle w:val="TextBody"/>
        <w:bidi w:val="0"/>
        <w:spacing w:lineRule="auto" w:line="288" w:before="120" w:after="120"/>
        <w:ind w:left="0" w:right="0" w:firstLine="360"/>
        <w:jc w:val="both"/>
        <w:rPr/>
      </w:pPr>
      <w:r>
        <w:rPr>
          <w:rFonts w:ascii="Times New Roman;serif" w:hAnsi="Times New Roman;serif"/>
          <w:b w:val="false"/>
          <w:i/>
          <w:color w:val="000000"/>
          <w:sz w:val="20"/>
        </w:rPr>
        <w:t>Phase 4 – Strategy &amp; Formation</w:t>
      </w:r>
      <w:r>
        <w:rPr>
          <w:rFonts w:ascii="Times New Roman;serif" w:hAnsi="Times New Roman;serif"/>
          <w:b w:val="false"/>
          <w:color w:val="000000"/>
          <w:sz w:val="20"/>
        </w:rPr>
        <w:t>: We set the initial strategy, including go-to-market strategies and initial business plan, for the Innventure Company, secure control of the technology via licensing or ownership, and create the new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DownSelect process typically takes six to nine months, though it may take as little as a few weeks to decline an opportunity and as long as a year or more from the start of Phase 1 to full approval to launch a new company. The process is managed by the DownSelect team with support from the broader Innventure team as well as external subject matter experts as required. The primary goal of the process is to confirm that an opportunity meets the key DownSelect criteria, and that we believe that the business has the potential to achieve or exceed a target enterprise value of at least $1 billion. At the completion of the DownSelect process, a new Innventure Company is created, and the approved opportunity is transferred to the new company, at which time Innventure appoints the board of directors and initial management team, typically consisting of Innventure principals and personnel. Innventure selects executives and managers who it believes to have the requisite technical and operational expertise to scale enterprises built around disruptive technologies. Previously, Innventure owned and operated the Innventure Companies and maintained control at least through early scaling. As part of the new Disruptive Conglomerate Model, Innventure intends to retain control of the Innventure Companies that it has created since 2022.</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When an opportunity satisfies our DownSelect criteria, we seek to acquire or license the technology solution from the MNC or other technology innovators and use the initial business plans developed during our DownSelect process as the basis to launch a new “Innventure Company” with initial funding provided by Innventure. From an investor perspective, this model is intended to bring founder shares of a company with a target enterprise value of at least $1 billion onto the Innventure balance sheet, which we believe can provide excellent potential returns for Innventure shareholders as described in more detail in this section.</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Historically, and prior to the Business Combination (as defined below), the Innventure model targeted exits for our new companies at 5-7 years after inception through a sale, initial public offering or merger, including a merger with a special purpose acquisition company. However, we determined that this approach could result in exiting companies prior to creating their maximum shareholder value.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we continue to advance our Disruptive Conglomerate Model, we intend to focus on building and holding companies, with goals of generating positive cash flows of one or more Innventure Companies controlled by Innventure and maximizing value for investors and other stakeholders. We believe that holding controlling stakes in our Innventure Companies allows those companies to mature further and gives us the opportunity to derive greater value from those companies as we operate them over the long term. We are currently deploying this model for Accelsius and Refinity. While an opportunistic sale or other disposition of one or more of our controlled companies could occur in the future, exit transactions are not expected to be a factor in the business plans for Accelsius, Refinity or future Innventure Companies.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Innventure was founded in 2015 and currently operates its business under Innventure LLC, a Delaware limited liability company that was formed in 2017. Innventure is a Delaware corporation following the closing of the Business Combination. Our phone number is (321) 209-6787. Our website is www.innventure.com. Information contained on or accessible through our website is not incorporated by reference into this report and should not be considered a part of this report.</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Corporate Structure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March 23, 2026, Innventure LLC owns 37.1% of AeroFlexx, directors, officers, employees and consultants of Innventure and AeroFlexx collectively own 12.1% of AeroFlexx and Innventus ESG Fund I, L.P. (the “ESG Fund”) owns 34.0% of AeroFlexx. Further, as of March 23, 2026, Innventure LLC owns 43.2% of Accelsius, directors, officers, employees and consultants of Innventure and Accelsius collectively own 26.6% of Accelsius, and the ESG Fund owns 3.4% of Accelsius. As of March 23, 2026, Innventure LLC owns 68.5% of Refinity Holdings, LLC (“Refinity Holdings”), and 26.3% of Refinity Holdings is collectively owned by Innventure and Refinity Holdings directors, officers, employees and consultants. Refinity Holdings owns 100% of Refinity. Innventure, through Innventure LLC as its subsidiary, economically owns 37.1%, 43.2% and 68.5% of AeroFlexx, Accelsius and Refinity Holdings, respectively, and exercises voting control over 42.3%, 58.8%, and 92.9% of AeroFlexx, Accelsius and Refinity Holdings, respectively. All the foregoing percentages are calculated using outstanding equity for each of AeroFlexx, Accelsius and Refinity Holdings as of March 23,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Following the Business Combination, the Class PCTA Units and Class I Units remain outstanding and their holders retain the limited voting rights attendant thereto with respect to matters concerning Class PCTA and Class I business. Innventure otherwise owns all of the membership interests in Innventure LLC.</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Following the Business Combination, Innventure’s wholly owned subsidiaries, Innventure Management Services, LLC (“Management Services”) and Innventure GP LLC (“Innventure GP”) continue to serve as the manager and general partner, respectively, of the ESG Fund and, correspondingly, Innventure will continue to accrue management fees for providing investment management services to the ESG Fund.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ESG Fund was formed on August 17, 2018, and commenced operations on the same day. The ESG Fund was formed to make venture capital (“VC”) investments in and contribute capital to certain Innventure Companies. Innventure’s wholly owned subsidiaries, Management Services and Innventure GP, serve as the manager and general partner, respectively, of the ESG Fund. Voting and investment power over the ESG Fund’s investments, including the AeroFlexx and Accelsius units held by the ESG Fund, is exercised by the investment committee of Management Services, which consists of Roland Austrup (Innventure’s Chief Growth Officer), Lucas Harper (Innventure’s Chief Investment Officer), and Dr. John Scott (Innventure’s Chief Strategy Officer). The Company, through Innventure LLC, is entitled to management fees for providing investment management services to the ESG Fund.</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Market Opportunity</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2024, the world's top 2,000 corporate research and development ("R&amp;D") investors collectively invested over €1.4 trillion (approximately $1.5 trillion) in R&amp;D, representing over 90% of global business-funded R&amp;D, according to the 2025 EU Industrial R&amp;D Investment Scoreboard published by the European Commission's Joint Research Centre. Despite this unprecedented level of investment, many patents and technologies developed within these organizations fail to be commercialized for various reasons, including misalignment with core business strategies, lack of commercialization resources, and poor timing in the market. R&amp;D investment is increasingly concentrated among the largest firms — the top five companies alone now account for approximately 15% of total R&amp;D investment among the world's top 2,000 corporate R&amp;D investors, a share that has doubled over the past decade. While MNCs excel at developing well-protected technologies for their existing businesses, we believe that many MNCs invent additional technologies with significant potential value that may best be realized by a different approach. Our goal is to collaborate with MNCs to commercialize these high potential technology assets, providing a return on the R&amp;D investment and, most importantly, creating products and services based on those technology solutions that will benefit the MNCs and their customers. We look to source technology solutions that come with a strong IP portfolio, market data that supports business plan development, and channel access that helps accelerate the commercialization timeline for the disruptive new company. Technologies can be sourced from MNCs, as well as from other technology innovators.</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Closed Loop Partnership Model</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Closed Loop partnership model is designed to capitalize on Innventure’s, MNCs’ and other technology innovators’ respective complementary capabilities. MNCs and others fund extensive R&amp;D programs which create technology solutions with the potential to satisfy significant unmet market needs. MNCs also have the potential to serve as valuable channel partners that can provide paths to distribution and/or revenue for our Innventure Companies. We use the term “Closed Loop partnership model” to describe an ongoing collaboration in which (1) the MNC typically provides proprietary insights and data about the markets they serve, particularly focusing on unmet needs or unsolved customer problems in those markets, as well as access to the market via existing channels and/or customers; and (2) IP-protected technology solutions that satisfy those unmet needs are sourced from that MNC or a different Technology Solutions Provider. In furtherance of our Closed Loop partnership model, Innventure assesses the relevant technology solution and, if it meets Innventure’s rigorous screening criteria, Innventure seeks to acquire or license the solution and use it as the basis for a new Innventure Company. A Closed Loop partnership can be one in which the Technology Solutions Provider itself is an MNC and initial customer for the product or service of the new Innventure Company and where early adoption of the solution by the MNC helps enable rapid growth of the new company. Alternatively, technology may be sourced from an entity that is not an MNC or that is not a potential channel partner if Innventure believes that it can establish a relationship with an MNC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that will serve as a channel partner that can enable market adoption of the technology that Innventure seeks to commercialize.</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Potential Benefits to Innventure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Innventure, the Closed Loop partnership model seeks to provide access to disruptive, developed technology solutions from Technology Solutions Providers that satisfy well-understood and unmet market needs along with the proprietary market and customer data to help Innventure advance the development and commercialization approach. Some of the potential benefits to Innventure include the following:</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i/>
          <w:color w:val="000000"/>
          <w:sz w:val="20"/>
        </w:rPr>
        <w:t>Access Advantage</w:t>
      </w:r>
      <w:r>
        <w:rPr>
          <w:rFonts w:ascii="Times New Roman;serif" w:hAnsi="Times New Roman;serif"/>
          <w:b w:val="false"/>
          <w:color w:val="000000"/>
          <w:sz w:val="20"/>
        </w:rPr>
        <w:t>: The relationship with an MNC provides unique access to MNC technologies and/or the information needed to help Innventure evaluate a disruptive technology solution in the context of specific unmet market needs. Using both data from the MNC and its own evaluations, Innventure determines if the opportunity should progress to a new Innventure Company.</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i/>
          <w:color w:val="000000"/>
          <w:sz w:val="20"/>
        </w:rPr>
        <w:t>Developed Technology Solutions</w:t>
      </w:r>
      <w:r>
        <w:rPr>
          <w:rFonts w:ascii="Times New Roman;serif" w:hAnsi="Times New Roman;serif"/>
          <w:b w:val="false"/>
          <w:color w:val="000000"/>
          <w:sz w:val="20"/>
        </w:rPr>
        <w:t>: MNCs invest significant time, money, and technical expertise in developing and protecting innovative technology solutions that satisfy unmet market needs for them and their customers. This all occurs well before Innventure acquires or licenses the technology solution. A new Innventure Company that sources the technology solution from an MNC, including IP such as patents and trade secrets, product prototypes, manufacturing equipment, and other assets, has access to the MNC’s technical expertise for transfer and early industrialization of the technology, all of which helps reduce commercialization time, save money, and mitigate common risks inherent to start-ups.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i/>
          <w:color w:val="000000"/>
          <w:sz w:val="20"/>
        </w:rPr>
        <w:t>Institutional Data Set</w:t>
      </w:r>
      <w:r>
        <w:rPr>
          <w:rFonts w:ascii="Times New Roman;serif" w:hAnsi="Times New Roman;serif"/>
          <w:b w:val="false"/>
          <w:color w:val="000000"/>
          <w:sz w:val="20"/>
        </w:rPr>
        <w:t>: MNCs also spend significant time and money developing deep, proprietary market knowledge, which is very difficult for a typical new venture to replicate. MNCs are in a position to provide Innventure with highly robust data, including market insights and customer testing, to understand unmet market needs and to assess the technology solution and potential business models.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i/>
          <w:color w:val="000000"/>
          <w:sz w:val="20"/>
        </w:rPr>
        <w:t>Early Customer Adoption</w:t>
      </w:r>
      <w:r>
        <w:rPr>
          <w:rFonts w:ascii="Times New Roman;serif" w:hAnsi="Times New Roman;serif"/>
          <w:b w:val="false"/>
          <w:color w:val="000000"/>
          <w:sz w:val="20"/>
        </w:rPr>
        <w:t>: We believe MNCs with which we collaborate will be motivated to catalyze market adoption of a technology solution by becoming early customers and/or providing channel access to facilitate the initial customer base to drive financial and strategic value. When Innventure sources technology from an entity that is not expected to be a channel partner, it seeks to establish a relationship with an MNC that will serve as a channel partner for the new company. In some cases, MNCs may choose to sign offtake agreements with the new company and/or facilitate access to prospective customers within their sphere of influence (e.g., suppliers or customers). We believe when an MNC is the original “inventor” or an early adopter of the technology solution, it may bring immediate credibility to the new Innventure Company which can lead to greater interest from potential customers.</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Business Model</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we have built a repeatable, systematic, risk managed approach to business building that is substantially different from traditional VC models. Innventure is not a venture capital company. Innventure maintains controlling stakes in a limited number of operating companies that we vet, launch, build, fund and operate, with the goal of operating and controlling these companies over a long-term period. The Innventure model is designed to help mitigate the significant risks inherent to establishing and building disruptive businesses.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Using our proprietary DownSelect approach, we focus on assessing and mitigating risk well before the new Innventure Company is formed. We believe new Innventure Companies that we launch are more mature than typical startups, due to the extensive investment by the MNC or other technology innovators in developing technology solutions, the rigor of the DownSelect process, and the experience of our Innventure company leaders. This prospective head start, coupled with the other components of the Innventure model, are designed to yield a higher success rate than other start-ups and VC-backed companies.</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The Business Combination</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24, 2023, Learn CW Investment Corporation (“Learn CW”) and Innventure LLC entered into a business combination agreement (the “Business Combination Agreement”) with Learn SPAC HoldCo, Inc. (“Holdco”), LCW Merger Sub, Inc., a direct, wholly-owned subsidiary of Holdco (“LCW Merger Sub”) and Innventure Merger Sub, LLC, a direct, wholly-owned subsidiary of Holdco (“Innventure Merger Sub” and, together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with LCW Merger Sub, the “Merger Subs”). On September 30, 2024, the stockholders of Learn CW approved the business combination (the “Business Combination”), and the Business Combination closed on October 2, 2024 (the “Closing Date”). The Business Combination has been accounted for using the acquisition method of accounting. The Company determined the accounting acquirer to be Holdco. Accordingly, the Company recorded assets acquired, liabilities assumed and non-controlling interest at their acquisition date fair values and recognized goodwill.</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Business Combination Agreement, among other things, (i) LCW Merger Sub merged with and into Learn CW (the “LCW Merger”), with Learn CW as the surviving company of the LCW Merger and (ii) Innventure Merger Sub merged with and into Innventure (the “Innventure Merger” and together with the LCW Merger, the “Mergers”), with Innventure LLC as the surviving entity of the Innventure Merger. Following the Mergers, each of Learn CW and Innventure LLC became a subsidiary of Holdco, and Holdco became a publicly traded company. Holdco changed its name to Innventure, Inc. in connection with the Business Combination.</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Sustainability as a Value Driver</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sustainability issues create new markets and are primary drivers of revenue, cost, and risk that impact value creation for long-term business performance for many of the verticals in which Innventure focuses. MNCs and others are increasingly focused on sustainability. The Innventure model is designed to help MNCs and others meet their sustainability goals by building companies around technology solutions that deliver sustainability benefits and assist MNCs and others in achieving their stated sustainability objectives. Our approach is that sustainability must first be economically viable. We focus on opportunities that we believe are commercially viable and profitable over time scales measured in decades and that provide a positive impact on the planet. Innventure Companies not only have the potential to create economic value but have also progressed products that have potential for significant positive impact on the environment.</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i/>
          <w:color w:val="000000"/>
          <w:sz w:val="20"/>
        </w:rPr>
        <w:t>AeroFlexx</w:t>
      </w:r>
      <w:r>
        <w:rPr>
          <w:rFonts w:ascii="Times New Roman;serif" w:hAnsi="Times New Roman;serif"/>
          <w:b w:val="false"/>
          <w:color w:val="000000"/>
          <w:sz w:val="20"/>
        </w:rPr>
        <w:t>: Combines the best attributes of flexible pouches and rigid bottles to provide consumer packaged goods (“CPG”) companies with a novel, curbside</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recyclable primary liquid package that uses up to 85% less virgin plastic than standard rigid bottles, significantly simplifies packaging supply chains, and enables innovative package shapes and creative artwork. AeroFlexx is in the early stages of operations and has begun to ramp up its commercial production capabilities. The current manufacturing footprint installed and on order is projected to be sufficient to meet projected demand through 2026.</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i/>
          <w:color w:val="000000"/>
          <w:sz w:val="20"/>
        </w:rPr>
        <w:t>Accelsius</w:t>
      </w:r>
      <w:r>
        <w:rPr>
          <w:rFonts w:ascii="Times New Roman;serif" w:hAnsi="Times New Roman;serif"/>
          <w:b w:val="false"/>
          <w:color w:val="000000"/>
          <w:sz w:val="20"/>
        </w:rPr>
        <w:t>: Delivers transformative industry solutions to thermal management to central processing units (“CPUs”) and graphics processing units (“GPUs”) in datacenter applications, with potential to allow operators to increase computational throughput and capacity, increase revenue, reduce operating costs, increase energy efficiency, and drive sustainability across server, switching, and edge computing environments. Accelsius is an early-stage company that is just beginning revenue-generating operations. Accelsius has been focused on developing and commercializing data center cooling products since its inception in 2022 and has begun signing commercial agreements to deploy its products and recognizing revenue.</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i/>
          <w:color w:val="000000"/>
          <w:sz w:val="20"/>
        </w:rPr>
        <w:t>Refinity</w:t>
      </w:r>
      <w:r>
        <w:rPr>
          <w:rFonts w:ascii="Times New Roman;serif" w:hAnsi="Times New Roman;serif"/>
          <w:b w:val="false"/>
          <w:color w:val="000000"/>
          <w:sz w:val="20"/>
        </w:rPr>
        <w:t xml:space="preserve">: Refinity has conducted bench and pilot scale optimization of the fluidized bed process that it sourced from VTT. It intends to commercialize process technologies for converting low cost, abundant plastic waste to drop-in chemicals directly useful in and consumable by the existing petrochemical supply chain, including olefin (ethylene and propylene) gases and hydrocarbon liquids.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Innventure is committed to long-term sustainability and making the planet a better place to live for all, while simultaneously creating significant enterprise value for our shareholders and providing value to the Innventure Companies’ customers.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Competition</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view our competition through two frameworks: competition to acquire technologies from MNCs and other technology innovators and competition faced by our Innventure Companies.</w:t>
      </w:r>
    </w:p>
    <w:p>
      <w:pPr>
        <w:pStyle w:val="TextBody"/>
        <w:bidi w:val="0"/>
        <w:spacing w:lineRule="auto" w:line="288" w:before="0" w:after="24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May not be recyclable in all communities. Check locally.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120" w:after="120"/>
        <w:ind w:left="0" w:right="0" w:firstLine="360"/>
        <w:jc w:val="both"/>
        <w:rPr>
          <w:rFonts w:ascii="Times New Roman;serif" w:hAnsi="Times New Roman;serif"/>
          <w:b/>
          <w:i/>
          <w:color w:val="000000"/>
          <w:sz w:val="20"/>
        </w:rPr>
      </w:pPr>
      <w:r>
        <w:rPr>
          <w:rFonts w:ascii="Times New Roman;serif" w:hAnsi="Times New Roman;serif"/>
          <w:b/>
          <w:i/>
          <w:color w:val="000000"/>
          <w:sz w:val="20"/>
        </w:rPr>
        <w:t>Other Technology Acquirers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we have a unique offering for MNCs and other technology innovators looking to monetize and commercialize their R&amp;D. We believe VC firms and other potential acquirers who are active in the market typically do not possess the in-house business creation and operations management that is at the core of the Innventure strategy. Some VCs and other potential acquirers invest in companies who license IP from universities, nonprofit research institutes, or national laboratories. In those cases, the VC or other potential acquirers need to spend significant time and effort building an initial team and starting the business, then transferring and often further incubating technology, developing products, and defining business plans. We don’t believe any VCs or other potential acquirers have a business model that is as comprehensive, vertical agnostic and focused on creating new companies that can achieve a target enterprise value of at least $1 billion as Innventure.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potential competition might include individual entrepreneurs looking to purchase technology solutions from an MNC or other technology innovator. We believe that while individual entrepreneurs may have the right technical or business skills, they frequently lack the credibility and financial resources to meet the requirements for the top, most disruptive technologies resident in MNCs and other technology innovators. We also believe these entrepreneurs can lack the resources and business infrastructure to quickly establish a new company, reducing the likelihood of a successful commercialization process. Members of Innventure’s core team have put into practice various components of the DownSelect model for choosing opportunities to scale over the past thirty years. This history, along with our ability to work in collaboration with Technology Solutions Providers, are key drivers of Innventure’s success to date and critical to Innventure’s future growth.</w:t>
      </w:r>
    </w:p>
    <w:p>
      <w:pPr>
        <w:pStyle w:val="TextBody"/>
        <w:bidi w:val="0"/>
        <w:spacing w:lineRule="auto" w:line="288" w:before="120" w:after="120"/>
        <w:ind w:left="0" w:right="0" w:firstLine="360"/>
        <w:jc w:val="both"/>
        <w:rPr>
          <w:rFonts w:ascii="Times New Roman;serif" w:hAnsi="Times New Roman;serif"/>
          <w:b/>
          <w:i/>
          <w:color w:val="000000"/>
          <w:sz w:val="20"/>
        </w:rPr>
      </w:pPr>
      <w:r>
        <w:rPr>
          <w:rFonts w:ascii="Times New Roman;serif" w:hAnsi="Times New Roman;serif"/>
          <w:b/>
          <w:i/>
          <w:color w:val="000000"/>
          <w:sz w:val="20"/>
        </w:rPr>
        <w:t>Innventure Company Competition</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competition at the Innventure Company subsidiary level varies by company and by the markets they serve. The examination of the competitive landscape is a key component of the DownSelect process. Innventure is focused on building companies that have unique products that will transform industries. More detail on competition for AeroFlexx, Accelsius and Refinity are provided below in the business sections related to each company.</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Intellectual Property</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an opportunity that meets all DownSelect criteria and for which Innventure enters into a contract to license or acquire technology from an MNC or another technology innovator, Innventure focuses on acquiring commercial control of the application of all IP related to the specific opportunity. Each such contract is unique is crafted to address long-term value sharing among Innventure, the new Innventure Company, and the technology provider. Such a contract typically involves Innventure or the new Innventure company acquiring or licensing the IP for use in defined applications and geographies, and Innventure’s objective is to maintain maximum freedom to practice (with unlimited access and control as the primary goal) across many applications, industries, markets, and geographies for the new company which will be built around and, ideally, ultimately take ownership of the IP. In some cases, Innventure will license IP instead of fully acquiring the rights, but the license must provide that Innventure and the new company have sufficient exclusive access to practice and commercialize a technology solution defined by the IP across the broadest set of applications, industries, markets, and geographies in order to meet Innventure’s goals. Also in selected cases, Innventure may agree to a limited number of applications, industries, markets, and/or geographies if the MNC or other technology innovator intends to use the IP in one or more existing business(es), and Innventure often provides a grant-back license to practice the IP for its own business but not for sale or sharing with other unaffiliated enterprises.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Since most opportunities are enabled by novel technology solutions, IP typically includes but is not limited to invention disclosures, patent applications, granted patents, trademarks, trade secrets, institutional know how, process and product prototypes, pilot and demonstration systems, process and product plans and designs, market data, customer insights, customer and market testing and validation, field, and production data, related to the technology solution. In selected cases, IP may relate to a business or service model innovation.</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Each new Innventure Company, including AeroFlexx, Accelsius and Refinity, develops or intends to develop company-specific IP strategies that build on and expand their IP portfolios to provide protection of processes, products, services, business models, and other innovations and support the continued growth of the companies. For example, Accelsius is based on a two-phase direct-to-chip passive liquid cooling technology acquired from Nokia, which Accelsius productized as an active, pumped solution to design approaches to solve the challenge of increasing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server rack power density and meet the rising demand for efficient cooling systems in datacenters and telecommunication systems.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Human Capital Management</w:t>
      </w:r>
    </w:p>
    <w:p>
      <w:pPr>
        <w:pStyle w:val="TextBody"/>
        <w:bidi w:val="0"/>
        <w:spacing w:lineRule="auto" w:line="288" w:before="120" w:after="120"/>
        <w:ind w:left="0" w:right="0" w:firstLine="360"/>
        <w:jc w:val="both"/>
        <w:rPr>
          <w:rFonts w:ascii="Times New Roman;serif" w:hAnsi="Times New Roman;serif"/>
          <w:b/>
          <w:i/>
          <w:color w:val="000000"/>
          <w:sz w:val="20"/>
        </w:rPr>
      </w:pPr>
      <w:r>
        <w:rPr>
          <w:rFonts w:ascii="Times New Roman;serif" w:hAnsi="Times New Roman;serif"/>
          <w:b/>
          <w:i/>
          <w:color w:val="000000"/>
          <w:sz w:val="20"/>
        </w:rPr>
        <w:t>Total Compensation and Rewards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provide competitive compensation and benefits, which include market-based pay keyed to related industry data. We offer a full complement of health and welfare benefits such as health, dental, vision, life insurance, and accidental death and dismemberment insurance. A 401(k)-retirement plan with company match is offered. Prior to 2025, employees were granted equity awards in newly created Innventure Companies through various programs to promote equity proprietorship opportunities. Following the consummation of the Business Combination, employees are eligible to receive equity awards in Innventure pursuant to the Company’s 2024 Equity and Incentive Compensation Plan. Innventure has granted certain employees Innventure restricted stock units and options and intends to make additional grants of Innventure equity to employees in the future.</w:t>
      </w:r>
    </w:p>
    <w:p>
      <w:pPr>
        <w:pStyle w:val="TextBody"/>
        <w:bidi w:val="0"/>
        <w:spacing w:lineRule="auto" w:line="288" w:before="120" w:after="120"/>
        <w:ind w:left="0" w:right="0" w:firstLine="360"/>
        <w:jc w:val="both"/>
        <w:rPr>
          <w:rFonts w:ascii="Times New Roman;serif" w:hAnsi="Times New Roman;serif"/>
          <w:b/>
          <w:i/>
          <w:color w:val="000000"/>
          <w:sz w:val="20"/>
        </w:rPr>
      </w:pPr>
      <w:r>
        <w:rPr>
          <w:rFonts w:ascii="Times New Roman;serif" w:hAnsi="Times New Roman;serif"/>
          <w:b/>
          <w:i/>
          <w:color w:val="000000"/>
          <w:sz w:val="20"/>
        </w:rPr>
        <w:t>Workforce Culture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focus on building a workforce that is responsive to customer and investor needs, attentive to being efficient and cost conscious for our financial stakeholders, and entrepreneurial and innovative in seeking to create new disruptive companies. We actively recruit talent that builds a culture reflective of the desires and the needs of the customers we partner with and serve. We actively support equal opportunity employment and provide a working environment of equity and inclusion for all employees.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Employees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aggregate number of employees employed by us and contractors engaged across Innventure, AeroFlexx, Accelsius and Refinity as of March 20, 2026 was 169.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Accelsius</w:t>
      </w:r>
    </w:p>
    <w:p>
      <w:pPr>
        <w:pStyle w:val="TextBody"/>
        <w:bidi w:val="0"/>
        <w:spacing w:lineRule="auto" w:line="288" w:before="120" w:after="120"/>
        <w:ind w:left="0" w:right="0" w:firstLine="360"/>
        <w:jc w:val="both"/>
        <w:rPr>
          <w:rFonts w:ascii="Times New Roman;serif" w:hAnsi="Times New Roman;serif"/>
          <w:b/>
          <w:i/>
          <w:color w:val="000000"/>
          <w:sz w:val="20"/>
        </w:rPr>
      </w:pPr>
      <w:r>
        <w:rPr>
          <w:rFonts w:ascii="Times New Roman;serif" w:hAnsi="Times New Roman;serif"/>
          <w:b/>
          <w:i/>
          <w:color w:val="000000"/>
          <w:sz w:val="20"/>
        </w:rPr>
        <w:t>Overview</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Accelsius provides two-phase, direct-to-chip liquid cooling solutions for servers (and other computing devices) in data centers and edge computing locations. Accelsius aims to exploit three powerful industry trends that it believes are converging:</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1.an exponential predicted increase in the thermal footprint, or thermal design power (“TDP”), of server and     GPU chipsets which are now beginning to exceed the capability of the incumbent refrigerated-air cooling systems;</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2.increased and unpredictable global energy costs; and</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3.an increased level of commitment to environmental sustainability, including from C-suites and corporate management teams.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Accelsius has developed NeuCool, a direct-to-chip liquid cooling solution using a scalable closed loop two-phase system with a dielectric coolant. Liquid coolant enters an evaporator plate that is installed directly on a CPU or GPU. Heat generated by the operation of the CPU or GPU causes the liquid coolant to boil, extracting energy and generating vapor that flows away from the evaporator plate through tubing to a separate condenser, where energy is extracted and coolant vapor returns to a liquid state. The liquid coolant is pumped back through common tubing, returning to the evaporator plate and starting the process again.</w:t>
      </w:r>
    </w:p>
    <w:p>
      <w:pPr>
        <w:pStyle w:val="TextBody"/>
        <w:bidi w:val="0"/>
        <w:spacing w:lineRule="auto" w:line="288" w:before="120" w:after="120"/>
        <w:ind w:left="0" w:right="0" w:firstLine="360"/>
        <w:jc w:val="left"/>
        <w:rPr>
          <w:rFonts w:ascii="Times New Roman;serif" w:hAnsi="Times New Roman;serif"/>
          <w:b/>
          <w:i/>
          <w:color w:val="000000"/>
          <w:sz w:val="20"/>
        </w:rPr>
      </w:pPr>
      <w:r>
        <w:rPr>
          <w:rFonts w:ascii="Times New Roman;serif" w:hAnsi="Times New Roman;serif"/>
          <w:b/>
          <w:i/>
          <w:color w:val="000000"/>
          <w:sz w:val="20"/>
        </w:rPr>
        <w:t>Market Opportunity</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Approximately 3% of the world’s power is consumed by data centers, of which 40% is used for cooling. The global data center cooling market was $21.6 billion in 2024 and is expected to grow at a 17.1% compound annual rate growth (“CAGR”) to over $76 billion in 2032. Of this, the data center liquid cooling market is projected to grow at a 18.2% CAGR from $4.8 billion in 2025 to $27.1 billion in 2035. However, it is not just data center servers that would benefit from new cooling technologies. Other markets include edge computing and power electronics across a number of industry verticals, such as construction, healthcare and hospitals, manufacturing, media and entertainment, retail and wholesale and transportation and logistics. Edge computing is being driven by data gravity,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i.e., the need to do processing as close as possible to where the data is generated. As datasets become exponentially larger, cost and latency issues drive a need for computing power in edge locations (e.g., in cell phone towers). The market intelligence firm 451 Group predicts that over 556,000 organizations globally will use Edge IaaS by 2027. Based on their prediction, we estimate that two million servers will be installed in edge locations annually by 2027. Because edge installations are often poorly suited for traditional refrigerated-air cooling, we believe two-phase, direct-to-chip cooling may be the most cost-effective and sustainable option.</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energy costs, traditional cooling systems use a considerable amount of water. As an example, ChatGPT can use upwards of 0.5L of water for as little as 50 prompts. The newest cell phones require faster networks, smart technology is connecting all aspects of our lives, and artificial intelligence (“AI”) is being used at unprecedented levels. Current cooling technologies struggle with the rising heat densities associated with the processors to support these applications. For example:</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i/>
          <w:color w:val="000000"/>
          <w:sz w:val="20"/>
        </w:rPr>
        <w:t>Components</w:t>
      </w:r>
      <w:r>
        <w:rPr>
          <w:rFonts w:ascii="Times New Roman;serif" w:hAnsi="Times New Roman;serif"/>
          <w:b w:val="false"/>
          <w:color w:val="000000"/>
          <w:sz w:val="20"/>
        </w:rPr>
        <w:t>: Increased software stack (including AI) require higher performance processors which increase heat dissipation.</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i/>
          <w:color w:val="000000"/>
          <w:sz w:val="20"/>
        </w:rPr>
        <w:t>Equipment</w:t>
      </w:r>
      <w:r>
        <w:rPr>
          <w:rFonts w:ascii="Times New Roman;serif" w:hAnsi="Times New Roman;serif"/>
          <w:b w:val="false"/>
          <w:color w:val="000000"/>
          <w:sz w:val="20"/>
        </w:rPr>
        <w:t>: More powerful servers, routers, switches, cell tower base stations, and other computing equipment require improved system level cooling.</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i/>
          <w:color w:val="000000"/>
          <w:sz w:val="20"/>
        </w:rPr>
        <w:t>Systems</w:t>
      </w:r>
      <w:r>
        <w:rPr>
          <w:rFonts w:ascii="Times New Roman;serif" w:hAnsi="Times New Roman;serif"/>
          <w:b w:val="false"/>
          <w:color w:val="000000"/>
          <w:sz w:val="20"/>
        </w:rPr>
        <w:t>: Denser racks of equipment are dissipating more heat per unit area.</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i/>
          <w:color w:val="000000"/>
          <w:sz w:val="20"/>
        </w:rPr>
        <w:t>Facilities</w:t>
      </w:r>
      <w:r>
        <w:rPr>
          <w:rFonts w:ascii="Times New Roman;serif" w:hAnsi="Times New Roman;serif"/>
          <w:b w:val="false"/>
          <w:color w:val="000000"/>
          <w:sz w:val="20"/>
        </w:rPr>
        <w:t>: Heat management capacity of data center and telecom facilities are pushing the limits of current air cooling technologies.</w:t>
      </w:r>
    </w:p>
    <w:p>
      <w:pPr>
        <w:pStyle w:val="TextBody"/>
        <w:bidi w:val="0"/>
        <w:spacing w:lineRule="auto" w:line="288" w:before="120" w:after="120"/>
        <w:ind w:left="0" w:right="0" w:firstLine="360"/>
        <w:jc w:val="both"/>
        <w:rPr/>
      </w:pPr>
      <w:r>
        <w:rPr>
          <w:color w:val="000000"/>
        </w:rPr>
        <w:t>•</w:t>
      </w:r>
      <w:r>
        <w:rPr>
          <w:rFonts w:ascii="Times New Roman;serif" w:hAnsi="Times New Roman;serif"/>
          <w:b w:val="false"/>
          <w:i/>
          <w:color w:val="000000"/>
          <w:sz w:val="20"/>
        </w:rPr>
        <w:t>Growth</w:t>
      </w:r>
      <w:r>
        <w:rPr>
          <w:rFonts w:ascii="Times New Roman;serif" w:hAnsi="Times New Roman;serif"/>
          <w:b w:val="false"/>
          <w:color w:val="000000"/>
          <w:sz w:val="20"/>
        </w:rPr>
        <w:t>: There are currently 150 GW of new data centers planned.</w:t>
      </w:r>
    </w:p>
    <w:p>
      <w:pPr>
        <w:pStyle w:val="TextBody"/>
        <w:bidi w:val="0"/>
        <w:spacing w:lineRule="auto" w:line="288" w:before="120" w:after="120"/>
        <w:ind w:left="0" w:right="0" w:firstLine="360"/>
        <w:jc w:val="both"/>
        <w:rPr>
          <w:rFonts w:ascii="Times New Roman;serif" w:hAnsi="Times New Roman;serif"/>
          <w:b/>
          <w:i/>
          <w:color w:val="000000"/>
          <w:sz w:val="20"/>
        </w:rPr>
      </w:pPr>
      <w:r>
        <w:rPr>
          <w:rFonts w:ascii="Times New Roman;serif" w:hAnsi="Times New Roman;serif"/>
          <w:b/>
          <w:i/>
          <w:color w:val="000000"/>
          <w:sz w:val="20"/>
        </w:rPr>
        <w:t>Sustainability, Efficiency and Cost Benefits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Accelsius will allow its clients to meet their sustainability needs while providing a more affordable option. We also believe that, by adopting Accelsius cooling solutions, clients can more efficiently use their resources, capital, space, energy, and water. Direct-to-chip cooling offers large savings compared to air cooling in full scale deployments, specifically including:</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i/>
          <w:color w:val="000000"/>
          <w:sz w:val="20"/>
        </w:rPr>
        <w:t>Total Cost of Ownership Savings</w:t>
      </w:r>
      <w:r>
        <w:rPr>
          <w:rFonts w:ascii="Times New Roman;serif" w:hAnsi="Times New Roman;serif"/>
          <w:b w:val="false"/>
          <w:color w:val="000000"/>
          <w:sz w:val="20"/>
        </w:rPr>
        <w:t>: Cooling accounts for approximately 40% of a data center’s energy consumption.</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i/>
          <w:color w:val="000000"/>
          <w:sz w:val="20"/>
        </w:rPr>
        <w:t>Space Savings</w:t>
      </w:r>
      <w:r>
        <w:rPr>
          <w:rFonts w:ascii="Times New Roman;serif" w:hAnsi="Times New Roman;serif"/>
          <w:b w:val="false"/>
          <w:color w:val="000000"/>
          <w:sz w:val="20"/>
        </w:rPr>
        <w:t>: Accelsius allows data centers to densify, increasing the number of servers per rack, increasing the number of racks per unit area of data center, and increasing revenue for a given data center footprint and reducing costs as less space is used.</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i/>
          <w:color w:val="000000"/>
          <w:sz w:val="20"/>
        </w:rPr>
        <w:t>Energy Savings</w:t>
      </w:r>
      <w:r>
        <w:rPr>
          <w:rFonts w:ascii="Times New Roman;serif" w:hAnsi="Times New Roman;serif"/>
          <w:b w:val="false"/>
          <w:color w:val="000000"/>
          <w:sz w:val="20"/>
        </w:rPr>
        <w:t>: Eliminates air conditioning needs and costs associated with legacy air-cooling systems.</w:t>
      </w:r>
    </w:p>
    <w:p>
      <w:pPr>
        <w:pStyle w:val="TextBody"/>
        <w:bidi w:val="0"/>
        <w:spacing w:lineRule="auto" w:line="288" w:before="120" w:after="120"/>
        <w:ind w:left="0" w:right="0" w:firstLine="360"/>
        <w:jc w:val="both"/>
        <w:rPr/>
      </w:pPr>
      <w:r>
        <w:rPr>
          <w:color w:val="000000"/>
        </w:rPr>
        <w:t>•</w:t>
      </w:r>
      <w:r>
        <w:rPr>
          <w:rFonts w:ascii="Times New Roman;serif" w:hAnsi="Times New Roman;serif"/>
          <w:b w:val="false"/>
          <w:i/>
          <w:color w:val="000000"/>
          <w:sz w:val="20"/>
        </w:rPr>
        <w:t>Water Savings</w:t>
      </w:r>
      <w:r>
        <w:rPr>
          <w:rFonts w:ascii="Times New Roman;serif" w:hAnsi="Times New Roman;serif"/>
          <w:b w:val="false"/>
          <w:color w:val="000000"/>
          <w:sz w:val="20"/>
        </w:rPr>
        <w:t>: Potential to eliminate water use in cooling system.</w:t>
      </w:r>
    </w:p>
    <w:p>
      <w:pPr>
        <w:pStyle w:val="TextBody"/>
        <w:bidi w:val="0"/>
        <w:spacing w:lineRule="auto" w:line="288" w:before="120" w:after="120"/>
        <w:ind w:left="0" w:right="0" w:firstLine="360"/>
        <w:jc w:val="both"/>
        <w:rPr>
          <w:rFonts w:ascii="Times New Roman;serif" w:hAnsi="Times New Roman;serif"/>
          <w:b/>
          <w:i/>
          <w:color w:val="000000"/>
          <w:sz w:val="20"/>
        </w:rPr>
      </w:pPr>
      <w:r>
        <w:rPr>
          <w:rFonts w:ascii="Times New Roman;serif" w:hAnsi="Times New Roman;serif"/>
          <w:b/>
          <w:i/>
          <w:color w:val="000000"/>
          <w:sz w:val="20"/>
        </w:rPr>
        <w:t>Value to Clients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Accelsius solutions allow clients to align data center operations with sustainability goals and increasingly competitive commercial requirements: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i/>
          <w:color w:val="000000"/>
          <w:sz w:val="20"/>
        </w:rPr>
        <w:t>Enables the adoption of high wattage processors</w:t>
      </w:r>
      <w:r>
        <w:rPr>
          <w:rFonts w:ascii="Times New Roman;serif" w:hAnsi="Times New Roman;serif"/>
          <w:b w:val="false"/>
          <w:color w:val="000000"/>
          <w:sz w:val="20"/>
        </w:rPr>
        <w:t>. The American Society of Heating, Refrigerating and Air-Conditioning Engineers has suggested that the exponential increase of CPU and GPU wattages is expected to soon exceed the capacity of most existing air cooling systems.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i/>
          <w:color w:val="000000"/>
          <w:sz w:val="20"/>
        </w:rPr>
        <w:t>Dramatically improves density in the data center</w:t>
      </w:r>
      <w:r>
        <w:rPr>
          <w:rFonts w:ascii="Times New Roman;serif" w:hAnsi="Times New Roman;serif"/>
          <w:b w:val="false"/>
          <w:color w:val="000000"/>
          <w:sz w:val="20"/>
        </w:rPr>
        <w:t>. With Accelsius’ technology, air heat syncs are not required, allowing more processing power in each server. Racks no longer must be depopulated to allow air flow, nor are cold and hot aisles needed.</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i/>
          <w:color w:val="000000"/>
          <w:sz w:val="20"/>
        </w:rPr>
        <w:t>Allows more power to be allocated to computing rather than coolin</w:t>
      </w:r>
      <w:r>
        <w:rPr>
          <w:rFonts w:ascii="Times New Roman;serif" w:hAnsi="Times New Roman;serif"/>
          <w:b w:val="false"/>
          <w:color w:val="000000"/>
          <w:sz w:val="20"/>
        </w:rPr>
        <w:t>g. An average data center allocates around 40% of their power to cooling and other overhead. When power used for cooling is reduced, more incoming power for data centers can be used for computing tasks, and data center capacity can be increased dramatically. We estimate that we can reduce the power allocated to cooling by around 49%.</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120" w:after="120"/>
        <w:ind w:left="0" w:right="0" w:hanging="360"/>
        <w:jc w:val="both"/>
        <w:rPr/>
      </w:pPr>
      <w:r>
        <w:rPr>
          <w:color w:val="000000"/>
        </w:rPr>
        <w:t>•</w:t>
      </w:r>
      <w:r>
        <w:rPr>
          <w:rFonts w:ascii="Times New Roman;serif" w:hAnsi="Times New Roman;serif"/>
          <w:b w:val="false"/>
          <w:i/>
          <w:color w:val="000000"/>
          <w:sz w:val="20"/>
        </w:rPr>
        <w:t>Is compatible with legacy infrastructure.</w:t>
      </w:r>
      <w:r>
        <w:rPr>
          <w:color w:val="000000"/>
        </w:rPr>
        <w:t xml:space="preserve"> </w:t>
      </w:r>
      <w:r>
        <w:rPr>
          <w:rFonts w:ascii="Times New Roman;serif" w:hAnsi="Times New Roman;serif"/>
          <w:b w:val="false"/>
          <w:color w:val="000000"/>
          <w:sz w:val="20"/>
        </w:rPr>
        <w:t>Although new data center builds will prioritize liquid cooling, brownfield sites are still actively introducing AI / machine learning (“ML”) and other dense workloads. Accelsius technology can fit in a standard rack and connect to existing facility water loops.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i/>
          <w:color w:val="000000"/>
          <w:sz w:val="20"/>
        </w:rPr>
        <w:t>Heat removal head room</w:t>
      </w:r>
      <w:r>
        <w:rPr>
          <w:rFonts w:ascii="Times New Roman;serif" w:hAnsi="Times New Roman;serif"/>
          <w:b w:val="false"/>
          <w:color w:val="000000"/>
          <w:sz w:val="20"/>
        </w:rPr>
        <w:t>. We believe Accelsius technology will be designed to support not just this generation of processors, but many more to come. Standard data-center CPU power consumption has already reached approximately 500 W, while modern GPUs now exceed 700 W. High-performance AI GPUs expected in 2026 may approach 2,000 W per device. Based on the rapid growth in CPU and GPU power consumption, accelerator packages are projected to reach power levels of up to 2,500 W in the near term, driving the need for advanced cooling solutions. The ability to cool these power processors helps protect the investment in Accelsius’ NeuCool technology.</w:t>
      </w:r>
    </w:p>
    <w:p>
      <w:pPr>
        <w:pStyle w:val="TextBody"/>
        <w:bidi w:val="0"/>
        <w:spacing w:lineRule="auto" w:line="288" w:before="120" w:after="120"/>
        <w:ind w:left="0" w:right="0" w:firstLine="360"/>
        <w:jc w:val="both"/>
        <w:rPr>
          <w:rFonts w:ascii="Times New Roman;serif" w:hAnsi="Times New Roman;serif"/>
          <w:b/>
          <w:i/>
          <w:color w:val="000000"/>
          <w:sz w:val="20"/>
        </w:rPr>
      </w:pPr>
      <w:r>
        <w:rPr>
          <w:rFonts w:ascii="Times New Roman;serif" w:hAnsi="Times New Roman;serif"/>
          <w:b/>
          <w:i/>
          <w:color w:val="000000"/>
          <w:sz w:val="20"/>
        </w:rPr>
        <w:t>Current Status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Accelsius is an early-stage company that has recently begun revenue-generating operations, including initial shipments of product. Accelsius has been focused on developing and commercializing data center cooling products since its inception in 2022 and delivered its first products to market in 2024. Accelsius has implemented development and applications testing capabilities at its headquarters in Austin, Texas. Accelsius has also built in-house fabrication capabilities for key heat transfer components and set up manufacturing and supply chain infrastructure at a new facility in Austin.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Accelsius has signed binding revenue-generating agreements, as well as non-binding memoranda of understanding, with third parties with whom it will deploy NeuCool thermal management systems to operating data centers. These third parties include hardware equipment original equipment manufacturers (“OEMs”), value-added resellers, and data center operators, all of which Accelsius believes represent key customers across the data center and telecom industries. Accelsius engages with potential customers in a collaborative evaluation of project needs and technical fit, taking into consideration system requirements, existing/planned infrastructure, and both present and future customer objectives. Accelsius’ agreements typically outline an implementation process consisting of four phases: assessment, initial deployment, scaled deployment, and ongoing service.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Current manufacturing assets and supply chain infrastructure are anticipated to support market demand through 2026, and additional capacity expansions and/or collaboration with selected contract manufacturers will be staged to meet customer needs as demand is expected to grow in 2027.</w:t>
      </w:r>
    </w:p>
    <w:p>
      <w:pPr>
        <w:pStyle w:val="TextBody"/>
        <w:bidi w:val="0"/>
        <w:spacing w:lineRule="auto" w:line="288" w:before="120" w:after="120"/>
        <w:ind w:left="0" w:right="0" w:firstLine="360"/>
        <w:jc w:val="both"/>
        <w:rPr>
          <w:rFonts w:ascii="Times New Roman;serif" w:hAnsi="Times New Roman;serif"/>
          <w:b/>
          <w:i/>
          <w:color w:val="000000"/>
          <w:sz w:val="20"/>
        </w:rPr>
      </w:pPr>
      <w:r>
        <w:rPr>
          <w:rFonts w:ascii="Times New Roman;serif" w:hAnsi="Times New Roman;serif"/>
          <w:b/>
          <w:i/>
          <w:color w:val="000000"/>
          <w:sz w:val="20"/>
        </w:rPr>
        <w:t>Customer Landscape and Growth Strategy</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Accelsius’ go-to-market strategy is through partnerships. Accelsius has signed binding revenue-generating agreements, as well as non-binding memoranda of understanding, with third parties with whom it will deploy NeuCool thermal management systems to data centers. These third parties include hardware equipment OEMs, value-added resellers, and data center operators, all of whom Accelsius believes represent key customers across the data center and telecom industries. Accelsius will deliver kitted NeuCool cooling systems for inclusion in ecosystem partner server deployments. Specific components of the NeuCool systems are designed to work with standard CPUs and GPUs and will be common across all kits; other components will be customized to match specific server designs for each partner.</w:t>
      </w:r>
    </w:p>
    <w:p>
      <w:pPr>
        <w:pStyle w:val="TextBody"/>
        <w:bidi w:val="0"/>
        <w:spacing w:lineRule="auto" w:line="288" w:before="120" w:after="120"/>
        <w:ind w:left="0" w:right="0" w:firstLine="360"/>
        <w:jc w:val="both"/>
        <w:rPr>
          <w:rFonts w:ascii="Times New Roman;serif" w:hAnsi="Times New Roman;serif"/>
          <w:b/>
          <w:i/>
          <w:color w:val="000000"/>
          <w:sz w:val="20"/>
        </w:rPr>
      </w:pPr>
      <w:r>
        <w:rPr>
          <w:rFonts w:ascii="Times New Roman;serif" w:hAnsi="Times New Roman;serif"/>
          <w:b/>
          <w:i/>
          <w:color w:val="000000"/>
          <w:sz w:val="20"/>
        </w:rPr>
        <w:t>Competition</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potential size and high growth of the liquid cooling market has attracted several startup competitors across different liquid cooling technologies. This market has seen an influx of single-phase direct liquid water cooling competitors; however, we believe Accelsius and Zutacore are currently the only two companies that have sold two-phase refrigerant-based solutions in the market. With two-phase direct liquid cooling becoming increasingly necessary to cool increasingly high powered chips, we believe that additional potential competitors will enter this market. Due to the complexity of designing and optimizing two-phase solutions, we believe that other potential competitors may face delays in entering this market.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liquid cooling solutions that Accelsius offers are well positioned compared to many other liquid cooling solutions because we believe they (i) use the most thermally capable liquid cooling technology (two phase direct-to-chip) and (ii) are the most robust. Compared to other solutions, the Accelsius two-phase direct-to-chip cooling platform of solutions is designed to provide high heat transfer capabilities in an easy-to-install form. The Accelsius NeuCool solution does not use water as the working fluid, so no water ever comes in contact with critical, high value electronic components, and our solution is designed to be field serviceable. Accelsius’s product includes design features that allow data center technicians to swap and service components using industry standard practices.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Accelsius’ two-phase direct-to-chip liquid cooling technology is an effective alternative to the limitations posed by other liquid cooling technologies. We summarize below some of the operational issues faced by competitive liquid cooling technologies based on that user feedback:</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Single-Phase Immersion:</w:t>
      </w:r>
    </w:p>
    <w:p>
      <w:pPr>
        <w:pStyle w:val="TextBody"/>
        <w:bidi w:val="0"/>
        <w:spacing w:lineRule="auto" w:line="288" w:before="0" w:after="180"/>
        <w:ind w:left="0" w:right="0" w:firstLine="360"/>
        <w:jc w:val="both"/>
        <w:rPr/>
      </w:pPr>
      <w:r>
        <w:rPr>
          <w:color w:val="000000"/>
        </w:rPr>
        <w:t>•</w:t>
      </w:r>
      <w:r>
        <w:rPr>
          <w:rFonts w:ascii="Times New Roman;serif" w:hAnsi="Times New Roman;serif"/>
          <w:b w:val="false"/>
          <w:color w:val="000000"/>
          <w:sz w:val="20"/>
        </w:rPr>
        <w:t>Expensive (~$100,000 per tank) and with limited thermal headroom (&lt; 50 KW);</w:t>
      </w:r>
    </w:p>
    <w:p>
      <w:pPr>
        <w:pStyle w:val="TextBody"/>
        <w:bidi w:val="0"/>
        <w:spacing w:lineRule="auto" w:line="288" w:before="0" w:after="180"/>
        <w:ind w:left="0" w:right="0" w:firstLine="360"/>
        <w:jc w:val="both"/>
        <w:rPr/>
      </w:pPr>
      <w:r>
        <w:rPr>
          <w:color w:val="000000"/>
        </w:rPr>
        <w:t>•</w:t>
      </w:r>
      <w:r>
        <w:rPr>
          <w:rFonts w:ascii="Times New Roman;serif" w:hAnsi="Times New Roman;serif"/>
          <w:b w:val="false"/>
          <w:color w:val="000000"/>
          <w:sz w:val="20"/>
        </w:rPr>
        <w:t>Requires modification (re-layout) of server internals for liquid flow and server warranty is usually void;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Servicing requires removal of servers from sealed liquid cooling baths and is time consuming and expensive;</w:t>
      </w:r>
    </w:p>
    <w:p>
      <w:pPr>
        <w:pStyle w:val="TextBody"/>
        <w:bidi w:val="0"/>
        <w:spacing w:lineRule="auto" w:line="288" w:before="0" w:after="180"/>
        <w:ind w:left="0" w:right="0" w:firstLine="360"/>
        <w:jc w:val="both"/>
        <w:rPr/>
      </w:pPr>
      <w:r>
        <w:rPr>
          <w:color w:val="000000"/>
        </w:rPr>
        <w:t>•</w:t>
      </w:r>
      <w:r>
        <w:rPr>
          <w:rFonts w:ascii="Times New Roman;serif" w:hAnsi="Times New Roman;serif"/>
          <w:b w:val="false"/>
          <w:color w:val="000000"/>
          <w:sz w:val="20"/>
        </w:rPr>
        <w:t>Forklift upgrade of existing rack infrastructure and inefficient use of real estate; and</w:t>
      </w:r>
    </w:p>
    <w:p>
      <w:pPr>
        <w:pStyle w:val="TextBody"/>
        <w:bidi w:val="0"/>
        <w:spacing w:lineRule="auto" w:line="288" w:before="0" w:after="180"/>
        <w:ind w:left="0" w:right="0" w:firstLine="360"/>
        <w:jc w:val="both"/>
        <w:rPr/>
      </w:pPr>
      <w:r>
        <w:rPr>
          <w:color w:val="000000"/>
        </w:rPr>
        <w:t>•</w:t>
      </w:r>
      <w:r>
        <w:rPr>
          <w:rFonts w:ascii="Times New Roman;serif" w:hAnsi="Times New Roman;serif"/>
          <w:b w:val="false"/>
          <w:color w:val="000000"/>
          <w:sz w:val="20"/>
        </w:rPr>
        <w:t>Leading competitors include LiquidStack, Green Revolution Cooling, and TMGCore.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Two-Phase Immersion: In addition to the issues outlined above, two-phase immersion is also:</w:t>
      </w:r>
    </w:p>
    <w:p>
      <w:pPr>
        <w:pStyle w:val="TextBody"/>
        <w:bidi w:val="0"/>
        <w:spacing w:lineRule="auto" w:line="288" w:before="0" w:after="180"/>
        <w:ind w:left="0" w:right="0" w:firstLine="360"/>
        <w:jc w:val="both"/>
        <w:rPr/>
      </w:pPr>
      <w:r>
        <w:rPr>
          <w:color w:val="000000"/>
        </w:rPr>
        <w:t>•</w:t>
      </w:r>
      <w:r>
        <w:rPr>
          <w:rFonts w:ascii="Times New Roman;serif" w:hAnsi="Times New Roman;serif"/>
          <w:b w:val="false"/>
          <w:color w:val="000000"/>
          <w:sz w:val="20"/>
        </w:rPr>
        <w:t>Very expensive (~$175,000 per tank);</w:t>
      </w:r>
    </w:p>
    <w:p>
      <w:pPr>
        <w:pStyle w:val="TextBody"/>
        <w:bidi w:val="0"/>
        <w:spacing w:lineRule="auto" w:line="288" w:before="0" w:after="180"/>
        <w:ind w:left="0" w:right="0" w:firstLine="360"/>
        <w:jc w:val="both"/>
        <w:rPr/>
      </w:pPr>
      <w:r>
        <w:rPr>
          <w:color w:val="000000"/>
        </w:rPr>
        <w:t>•</w:t>
      </w:r>
      <w:r>
        <w:rPr>
          <w:rFonts w:ascii="Times New Roman;serif" w:hAnsi="Times New Roman;serif"/>
          <w:b w:val="false"/>
          <w:color w:val="000000"/>
          <w:sz w:val="20"/>
        </w:rPr>
        <w:t>Vapor can get trapped in the servers causing localized hot spots;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Very few pilot implementations are expanded on because “no one wants tanks full of perfluoroalkyl and polyfluoroalkyl substances coolant in the data center;” and</w:t>
      </w:r>
    </w:p>
    <w:p>
      <w:pPr>
        <w:pStyle w:val="TextBody"/>
        <w:bidi w:val="0"/>
        <w:spacing w:lineRule="auto" w:line="288" w:before="0" w:after="180"/>
        <w:ind w:left="0" w:right="0" w:firstLine="360"/>
        <w:jc w:val="both"/>
        <w:rPr/>
      </w:pPr>
      <w:r>
        <w:rPr>
          <w:color w:val="000000"/>
        </w:rPr>
        <w:t>•</w:t>
      </w:r>
      <w:r>
        <w:rPr>
          <w:rFonts w:ascii="Times New Roman;serif" w:hAnsi="Times New Roman;serif"/>
          <w:b w:val="false"/>
          <w:color w:val="000000"/>
          <w:sz w:val="20"/>
        </w:rPr>
        <w:t>Leading competitors include LiquidStack, TMGCore and Submer.</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Single-Phase Direct-to-Chip (e.g., water):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Water leaks that can cause catastrophic failure in servers and are the most significant risk. Users state that water leaks around electronic components have occurred and destroyed the servers: “Not a question of ‘if’ it will leak, but ‘when’ it will leak”;</w:t>
      </w:r>
    </w:p>
    <w:p>
      <w:pPr>
        <w:pStyle w:val="TextBody"/>
        <w:bidi w:val="0"/>
        <w:spacing w:lineRule="auto" w:line="288" w:before="0" w:after="180"/>
        <w:ind w:left="0" w:right="0" w:firstLine="360"/>
        <w:jc w:val="both"/>
        <w:rPr/>
      </w:pPr>
      <w:r>
        <w:rPr>
          <w:color w:val="000000"/>
        </w:rPr>
        <w:t>•</w:t>
      </w:r>
      <w:r>
        <w:rPr>
          <w:rFonts w:ascii="Times New Roman;serif" w:hAnsi="Times New Roman;serif"/>
          <w:b w:val="false"/>
          <w:color w:val="000000"/>
          <w:sz w:val="20"/>
        </w:rPr>
        <w:t>Bio-fouling (biofilm build up) within pipes and cold plates is a concern;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Cooling higher thermal densities requires large pumps and high pressure/flow rate of water (increasing chance of leaks &amp; electricity use); and</w:t>
      </w:r>
    </w:p>
    <w:p>
      <w:pPr>
        <w:pStyle w:val="TextBody"/>
        <w:bidi w:val="0"/>
        <w:spacing w:lineRule="auto" w:line="288" w:before="0" w:after="180"/>
        <w:ind w:left="0" w:right="0" w:firstLine="360"/>
        <w:jc w:val="both"/>
        <w:rPr/>
      </w:pPr>
      <w:r>
        <w:rPr>
          <w:color w:val="000000"/>
        </w:rPr>
        <w:t>•</w:t>
      </w:r>
      <w:r>
        <w:rPr>
          <w:rFonts w:ascii="Times New Roman;serif" w:hAnsi="Times New Roman;serif"/>
          <w:b w:val="false"/>
          <w:color w:val="000000"/>
          <w:sz w:val="20"/>
        </w:rPr>
        <w:t>Leading competitors include CoolIT Systems and STULZ.</w:t>
      </w:r>
    </w:p>
    <w:p>
      <w:pPr>
        <w:pStyle w:val="TextBody"/>
        <w:bidi w:val="0"/>
        <w:spacing w:lineRule="auto" w:line="288" w:before="120" w:after="120"/>
        <w:ind w:left="0" w:right="0" w:firstLine="360"/>
        <w:jc w:val="both"/>
        <w:rPr>
          <w:rFonts w:ascii="Times New Roman;serif" w:hAnsi="Times New Roman;serif"/>
          <w:b/>
          <w:i/>
          <w:color w:val="000000"/>
          <w:sz w:val="20"/>
        </w:rPr>
      </w:pPr>
      <w:r>
        <w:rPr>
          <w:rFonts w:ascii="Times New Roman;serif" w:hAnsi="Times New Roman;serif"/>
          <w:b/>
          <w:i/>
          <w:color w:val="000000"/>
          <w:sz w:val="20"/>
        </w:rPr>
        <w:t>Intellectual Property</w:t>
      </w:r>
    </w:p>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Accelsius has developed a comprehensive IP strategy initially built around five acquired patent applications, two of which have issued as patents in the U.S. and Europe. In addition, Accelsius has filed nine patent applications covering new inventions directed to pumped two-phase data center cooling, with additional new inventions moving through the invention qualification process. Accelsius is also using trade secrets to protect certain novel aspects of its technology and manufacturing developments.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AeroFlexx and Refinity</w:t>
      </w:r>
    </w:p>
    <w:p>
      <w:pPr>
        <w:pStyle w:val="TextBody"/>
        <w:bidi w:val="0"/>
        <w:spacing w:lineRule="auto" w:line="288" w:before="120" w:after="120"/>
        <w:ind w:left="0" w:right="0" w:firstLine="360"/>
        <w:jc w:val="both"/>
        <w:rPr>
          <w:rFonts w:ascii="Times New Roman;serif" w:hAnsi="Times New Roman;serif"/>
          <w:b/>
          <w:i/>
          <w:color w:val="000000"/>
          <w:sz w:val="20"/>
        </w:rPr>
      </w:pPr>
      <w:r>
        <w:rPr>
          <w:rFonts w:ascii="Times New Roman;serif" w:hAnsi="Times New Roman;serif"/>
          <w:b/>
          <w:i/>
          <w:color w:val="000000"/>
          <w:sz w:val="20"/>
        </w:rPr>
        <w:t>Overview</w:t>
      </w:r>
    </w:p>
    <w:p>
      <w:pPr>
        <w:pStyle w:val="TextBody"/>
        <w:bidi w:val="0"/>
        <w:spacing w:lineRule="auto" w:line="288" w:before="120" w:after="120"/>
        <w:ind w:left="0" w:right="0" w:firstLine="450"/>
        <w:jc w:val="both"/>
        <w:rPr/>
      </w:pPr>
      <w:r>
        <w:rPr>
          <w:rFonts w:ascii="Times New Roman;serif" w:hAnsi="Times New Roman;serif"/>
          <w:b w:val="false"/>
          <w:color w:val="000000"/>
          <w:sz w:val="20"/>
        </w:rPr>
        <w:t>AeroFlexx manufactures what we believe to be one of the first flexible packages designed to act like a rigid bottle (the “pak”). Its proprietary integrated valve eliminates the need for discrete closures, removes the need for pumps, and enhances the consumer use experience, while its proprietary air frame provides structural rigidity throughout the entire package lifecycle, including end of life collection and sortation. The package eliminates 50-70% of plastic used, potentially up to 85% less virgin plastic than traditional rigid bottles by incorporating recycled content and can be curbside recyclable where all plastic bottles are accepted</w:t>
      </w:r>
      <w:r>
        <w:rPr>
          <w:rFonts w:ascii="Times New Roman;serif" w:hAnsi="Times New Roman;serif"/>
          <w:b w:val="false"/>
          <w:color w:val="000000"/>
          <w:sz w:val="13"/>
        </w:rPr>
        <w:t>2</w:t>
      </w:r>
      <w:r>
        <w:rPr>
          <w:rFonts w:ascii="Times New Roman;serif" w:hAnsi="Times New Roman;serif"/>
          <w:b w:val="false"/>
          <w:color w:val="000000"/>
          <w:sz w:val="20"/>
        </w:rPr>
        <w:t>. Prior to filling, the package is shipped in a freight efficient flat pak format that reduces supply chain cost and complexity.</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product is also designed to solve the challenges of shipping liquids in the e-commerce channel while equally performing in traditional brick and mortar retail channels. It is ISTA-6 Amazon approved for both prep-free packaging and ship in own container, allowing customers to ship liquids more easily via the e-commerce channel. In our experience, the benefits of International Safe Transit Association (“ISTA”) certified packaging can be realized through cost savings, product protection, increased brand loyalty and greater customer satisfaction. The potential labor &amp; cost savings stem from elimination of preparation materials.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AeroFlexx is subject to laws and regulations administered by various federal, state and local government agencies in the United States of America ("U.S.") that prescribe the requirements and establish the standards for quality and safety, regulate our products, and the manufacturing, labeling, marketing, promotion, and advertising thereof. Additionally, AeroFlexx expects that it will be subject to additional regulatory requirements in most if not all of the countries in which it may seek to expand.</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AeroFlexx is headquartered in West Chester, Ohio. The firm’s 27,082 square foot facility currently has all the initial commercial converter lines installed with a nameplate design capacity of over 100 million units per year.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Refinity intends to commercialize process technologies for converting low cost, abundant plastic waste to drop-in chemicals directly useful in and consumable by the existing petrochemical supply chain. Refinity believes that it is uniquely positioned for success because Refinity has exclusively licensed a proprietary advanced recycling process to convert minimally sorted, low-cost mixed plastic waste to drop-in chemicals, including olefin gases (e.g., ethylene and propylene) and hydrocarbon liquids (e.g., naphtha substitutes) at yields that Refinity believes are higher than other conversion technologies. Refinity plans to target the 240 million tonnes/year of mixed plastic waste that incumbent recycling technologies cannot typically use in a cost effective and scalable way. Additionally, Innventure’s collaboration with Dow provides engineering and operations insight for Refinity’s advanced recycling process, detailed understanding of what product quality is needed to integrate with typical petrochemical plant operations, and different site and plant integration options that take advantage of existing infrastructure.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Refinity exclusively licensed the rights to novel technology for advanced recycling of mixed plastic waste from VTT. The core technology is a proprietary application of fluidized bed processes that are routinely operated in the refining industry to make transportation fuels and in the petrochemical industry to make high volume chemicals. Fluidized bed processing uses very uniform and efficient heating and short residence times to convert waste plastics into the chemicals from which those plastics were originally made. We also expect the process to use a wider range of plastic waste feedstocks than competing technologies. Using the equipment and capabilities available at VTT, Refinity plans to tune operating conditions and optimize yields for different types of plastic wastes. Refinity also expects to use the equipment for the engineering studies needed to design the first plant. Refinity is currently working with engineering firms and equipment providers to design the first demonstration scale and commercial scale plants and identify prospective sites for initial deployment.</w:t>
      </w:r>
    </w:p>
    <w:p>
      <w:pPr>
        <w:pStyle w:val="TextBody"/>
        <w:bidi w:val="0"/>
        <w:spacing w:lineRule="auto" w:line="288" w:before="120" w:after="120"/>
        <w:ind w:left="0" w:right="0" w:firstLine="360"/>
        <w:jc w:val="both"/>
        <w:rPr>
          <w:rFonts w:ascii="Times New Roman;serif" w:hAnsi="Times New Roman;serif"/>
          <w:b/>
          <w:i/>
          <w:color w:val="000000"/>
          <w:sz w:val="20"/>
        </w:rPr>
      </w:pPr>
      <w:r>
        <w:rPr>
          <w:rFonts w:ascii="Times New Roman;serif" w:hAnsi="Times New Roman;serif"/>
          <w:b/>
          <w:i/>
          <w:color w:val="000000"/>
          <w:sz w:val="20"/>
        </w:rPr>
        <w:t>Market Opportunity</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global packaging market is estimated to generate annual sales of approximately $1.2 trillion, 37% of which is flexible and rigid plastic. Plastic packaging is estimated to grow at an average rate of 5-6% over the next three to five years. The estimated addressable market for AeroFlexx applications is approximately $400 billion across several market categories including personal care, household products, food, pet care and industrial.</w:t>
      </w:r>
    </w:p>
    <w:p>
      <w:pPr>
        <w:pStyle w:val="TextBody"/>
        <w:bidi w:val="0"/>
        <w:spacing w:lineRule="auto" w:line="288" w:before="0" w:after="24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May not be recyclable in all communities. Check locally.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average, 400 million tonnes per year of plastic are produced globally, and 380 million tonnes per year are disposed of as plastic waste. Of that, 46% of plastic waste is landfilled, 22% becomes litter, 17% is incinerated, and 15% is collected for recycling, with less than 9% actually recycled after losses. Refinity is targeting the 91% of plastic waste that is currently not recycled. Specifically, Refinity intends to focus on using the 240 million tonnes per year that are currently landfilled or incinerated.</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the yields that Refinity believes its fluidized bed process will convert plastic waste to drop-in chemicals, 240 million tonnes per year of plastic waste could be converted to hydrocarbon liquids and olefin gases valued at $150-200 billion annually. The global recycled plastics market size is projected to grow to $107 billion by 2032. Current market prices for naphtha substitutes (e.g., hydrotreated pyrolysis oils and sustainable/circular naphtha) frequently indicate a significant premium over fossil naphtha.</w:t>
      </w:r>
    </w:p>
    <w:p>
      <w:pPr>
        <w:pStyle w:val="TextBody"/>
        <w:bidi w:val="0"/>
        <w:spacing w:lineRule="auto" w:line="288" w:before="120" w:after="120"/>
        <w:ind w:left="0" w:right="0" w:firstLine="360"/>
        <w:jc w:val="both"/>
        <w:rPr>
          <w:rFonts w:ascii="Times New Roman;serif" w:hAnsi="Times New Roman;serif"/>
          <w:b/>
          <w:i/>
          <w:color w:val="000000"/>
          <w:sz w:val="20"/>
        </w:rPr>
      </w:pPr>
      <w:r>
        <w:rPr>
          <w:rFonts w:ascii="Times New Roman;serif" w:hAnsi="Times New Roman;serif"/>
          <w:b/>
          <w:i/>
          <w:color w:val="000000"/>
          <w:sz w:val="20"/>
        </w:rPr>
        <w:t>Sustainability Benefits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Superior sustainability benefits are integral to AeroFlexx’s package design and overall value proposition. Refinity aims to divert plastic waste that is currently mishandled, landfilled, or incinerated and convert that waste to sustainable, drop-in chemicals for use in the existing petrochemical supply chain. We believe that the following sustainability benefits are potential targets: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i/>
          <w:color w:val="000000"/>
          <w:sz w:val="20"/>
        </w:rPr>
        <w:t>Package Circularity</w:t>
      </w:r>
      <w:r>
        <w:rPr>
          <w:rFonts w:ascii="Times New Roman;serif" w:hAnsi="Times New Roman;serif"/>
          <w:b w:val="false"/>
          <w:color w:val="000000"/>
          <w:sz w:val="20"/>
        </w:rPr>
        <w:t>: AeroFlexx packaging can incorporate up to 50% recycled content without compromise.</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i/>
          <w:color w:val="000000"/>
          <w:sz w:val="20"/>
        </w:rPr>
        <w:t>Life Cycle Analysis</w:t>
      </w:r>
      <w:r>
        <w:rPr>
          <w:rFonts w:ascii="Times New Roman;serif" w:hAnsi="Times New Roman;serif"/>
          <w:b w:val="false"/>
          <w:color w:val="000000"/>
          <w:sz w:val="20"/>
        </w:rPr>
        <w:t>: By considering source reduction, recycled content, recyclability and eliminating excess packaging material in e-commerce, AeroFlexx can deliver up to 83% less waste to landfills, 69% greenhouse gas (“GHG”) reduction, and 73% less water use.</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i/>
          <w:color w:val="000000"/>
          <w:sz w:val="20"/>
        </w:rPr>
        <w:t>UN Sustainable Goals Alignment</w:t>
      </w:r>
      <w:r>
        <w:rPr>
          <w:rFonts w:ascii="Times New Roman;serif" w:hAnsi="Times New Roman;serif"/>
          <w:b w:val="false"/>
          <w:color w:val="000000"/>
          <w:sz w:val="20"/>
        </w:rPr>
        <w:t>: AeroFlexx can contribute to meeting several of the sustainable development goals (“SDGs”) outlined by the United Nations, including industry, innovation, and infrastructure; responsible consumption and production; climate action; and life below water.</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i/>
          <w:color w:val="000000"/>
          <w:sz w:val="20"/>
        </w:rPr>
        <w:t>GHG emissions reduction relative to plastic waste incineration or pyrolysis</w:t>
      </w:r>
      <w:r>
        <w:rPr>
          <w:rFonts w:ascii="Times New Roman;serif" w:hAnsi="Times New Roman;serif"/>
          <w:b w:val="false"/>
          <w:color w:val="000000"/>
          <w:sz w:val="20"/>
        </w:rPr>
        <w:t>: Internal LCA analysis indicated about -400 kg CO2-eq/tonne plastic waste for the Refinity fluidized bed conversion process compared to 1777 kg CO2-eq/tonne plastic waste for incineration and 739 kg CO2-eq/tonne plastic waste for pyrolysis, so Refinity believes that its process will reduce GHG emissions.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i/>
          <w:color w:val="000000"/>
          <w:sz w:val="20"/>
        </w:rPr>
        <w:t>Fossil source reduction</w:t>
      </w:r>
      <w:r>
        <w:rPr>
          <w:rFonts w:ascii="Times New Roman;serif" w:hAnsi="Times New Roman;serif"/>
          <w:b w:val="false"/>
          <w:color w:val="000000"/>
          <w:sz w:val="20"/>
        </w:rPr>
        <w:t>: If all plastic waste from landfill and incineration (240 million tonnes per year) were converted to hydrocarbon liquids (e.g., naphtha substitute) at yields consistent with what Refinity believes are possible in the fluidized bed process, those hydrocarbon liquids could replace up to 80% of fossil naphtha; saving roughly 96 million tonnes per year of CO2-eq emissions.</w:t>
      </w:r>
    </w:p>
    <w:p>
      <w:pPr>
        <w:pStyle w:val="TextBody"/>
        <w:bidi w:val="0"/>
        <w:spacing w:lineRule="auto" w:line="288" w:before="120" w:after="120"/>
        <w:ind w:left="0" w:right="0" w:firstLine="360"/>
        <w:jc w:val="both"/>
        <w:rPr>
          <w:rFonts w:ascii="Times New Roman;serif" w:hAnsi="Times New Roman;serif"/>
          <w:b/>
          <w:i/>
          <w:color w:val="000000"/>
          <w:sz w:val="20"/>
        </w:rPr>
      </w:pPr>
      <w:r>
        <w:rPr>
          <w:rFonts w:ascii="Times New Roman;serif" w:hAnsi="Times New Roman;serif"/>
          <w:b/>
          <w:i/>
          <w:color w:val="000000"/>
          <w:sz w:val="20"/>
        </w:rPr>
        <w:t>Value to Clients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AeroFlexx can help drive growth and overall profitability through significant supply chain savings. This is accomplished through several supply chain benefits of the AeroFlexx pak:</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i/>
          <w:color w:val="000000"/>
          <w:sz w:val="20"/>
        </w:rPr>
        <w:t>Reduces Complexity of Sourcing</w:t>
      </w:r>
      <w:r>
        <w:rPr>
          <w:rFonts w:ascii="Times New Roman;serif" w:hAnsi="Times New Roman;serif"/>
          <w:b w:val="false"/>
          <w:color w:val="000000"/>
          <w:sz w:val="20"/>
        </w:rPr>
        <w:t>: AeroFlexx ships as a flat pak and replaces the bottle, cap and label that customers must procure from multiple sources and destinations.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i/>
          <w:color w:val="000000"/>
          <w:sz w:val="20"/>
        </w:rPr>
        <w:t>Reduced Transportation Cost and Footprint</w:t>
      </w:r>
      <w:r>
        <w:rPr>
          <w:rFonts w:ascii="Times New Roman;serif" w:hAnsi="Times New Roman;serif"/>
          <w:b w:val="false"/>
          <w:color w:val="000000"/>
          <w:sz w:val="20"/>
        </w:rPr>
        <w:t>: prior to filling the package, shipping as a flat pak creates a form factor that takes up less than 10% of the space in shipping of an equivalent pre-formed empty rigid bottle, in addition to eliminating the need for cap and label supply chains. This reduces cost and environmental footprint by taking trucks off the road.</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i/>
          <w:color w:val="000000"/>
          <w:sz w:val="20"/>
        </w:rPr>
        <w:t>Lowers Warehouse Requirements and Inventory Cost</w:t>
      </w:r>
      <w:r>
        <w:rPr>
          <w:rFonts w:ascii="Times New Roman;serif" w:hAnsi="Times New Roman;serif"/>
          <w:b w:val="false"/>
          <w:color w:val="000000"/>
          <w:sz w:val="20"/>
        </w:rPr>
        <w:t>: with the AeroFlexx flat pak replacing pre-formed empty bottles, caps and labels, there is an overall reduction in the need for inventory space and overall cost associated with labor and working capital.</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i/>
          <w:color w:val="000000"/>
          <w:sz w:val="20"/>
        </w:rPr>
        <w:t>ISTA-6 Amazon Approved</w:t>
      </w:r>
      <w:r>
        <w:rPr>
          <w:rFonts w:ascii="Times New Roman;serif" w:hAnsi="Times New Roman;serif"/>
          <w:b w:val="false"/>
          <w:color w:val="000000"/>
          <w:sz w:val="20"/>
        </w:rPr>
        <w:t xml:space="preserve">: for shipping liquids via the e-commerce channel, reductions in damages from breakage, leakage and handling can generate significant savings through lower returns or refund rates and reduced overall package and labor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Omni-Channel Ready</w:t>
      </w:r>
      <w:r>
        <w:rPr>
          <w:rFonts w:ascii="Times New Roman;serif" w:hAnsi="Times New Roman;serif"/>
          <w:b w:val="false"/>
          <w:color w:val="000000"/>
          <w:sz w:val="20"/>
        </w:rPr>
        <w:t>: the pak is omni-channel ready as soon as it is filled with liquid product from the AeroFlexx filling machine, which we expect to eliminate stock keeping unit proliferation based on desired sales distribution channel.</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New Size/Shape Development Efficiency</w:t>
      </w:r>
      <w:r>
        <w:rPr>
          <w:rFonts w:ascii="Times New Roman;serif" w:hAnsi="Times New Roman;serif"/>
          <w:b w:val="false"/>
          <w:color w:val="000000"/>
          <w:sz w:val="20"/>
        </w:rPr>
        <w:t>: flexible manufacturing eliminates the need for capital intensive molds and tooling costs, which may enable rapid adoption at a much lower cost.</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i/>
          <w:color w:val="000000"/>
          <w:sz w:val="20"/>
        </w:rPr>
        <w:t>Product Safety</w:t>
      </w:r>
      <w:r>
        <w:rPr>
          <w:rFonts w:ascii="Times New Roman;serif" w:hAnsi="Times New Roman;serif"/>
          <w:b w:val="false"/>
          <w:color w:val="000000"/>
          <w:sz w:val="20"/>
        </w:rPr>
        <w:t>: designed with hygiene in mind with tamper proof packaging that eliminates the use of a discrete closure with AeroFlexx proprietary integrated valve (e.g., no need for a separate cap, pump or package sealing and dispensing device) to help keep products safe and prevent product losses.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Currently, the limitations for Refinity’s clients to fully embrace and scale plastic circularity is economic viability and plastic waste sourcing. Refinity believes that its fluidized bed process provides unique benefits that:</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i/>
          <w:color w:val="000000"/>
          <w:sz w:val="20"/>
        </w:rPr>
        <w:t>Enable higher yield conversion of plastic waste to olefin gases and hydrocarbon liquids</w:t>
      </w:r>
      <w:r>
        <w:rPr>
          <w:rFonts w:ascii="Times New Roman;serif" w:hAnsi="Times New Roman;serif"/>
          <w:b w:val="false"/>
          <w:color w:val="000000"/>
          <w:sz w:val="20"/>
        </w:rPr>
        <w:t>. Working with VTT, Refinity has demonstrated that the fluidized bed process converts market-sourced plastic waste to olefin gases at higher yield than conventional pyrolysis processes, potentially enabling two to three times higher productivity when the fluidized bed process feeds olefin gases directly to petrochemical steam cracker operations.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i/>
          <w:color w:val="000000"/>
          <w:sz w:val="20"/>
        </w:rPr>
        <w:t>Allow use of low cost, mixed plastic wastes</w:t>
      </w:r>
      <w:r>
        <w:rPr>
          <w:rFonts w:ascii="Times New Roman;serif" w:hAnsi="Times New Roman;serif"/>
          <w:b w:val="false"/>
          <w:color w:val="000000"/>
          <w:sz w:val="20"/>
        </w:rPr>
        <w:t>. Unlike incumbent recycling processes which typically require more sorting and pre-cleaning of plastic wastes, Refinity believes that the fluidized bed process will be more robust to minimally-sorted, mixed plastic waste streams.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i/>
          <w:color w:val="000000"/>
          <w:sz w:val="20"/>
        </w:rPr>
        <w:t>Enable plant site flexibility</w:t>
      </w:r>
      <w:r>
        <w:rPr>
          <w:rFonts w:ascii="Times New Roman;serif" w:hAnsi="Times New Roman;serif"/>
          <w:b w:val="false"/>
          <w:color w:val="000000"/>
          <w:sz w:val="20"/>
        </w:rPr>
        <w:t>. We believe that the Refinity fluidized bed operating conditions can be tuned to allow for production of either olefin (ethylene and propylene) gases and hydrocarbon liquids. We believe the flexibility to site and build a liquids plant close to low-cost plastic waste feedstock sources will allow Refinity to minimize transportation costs for plastic waste and reduce operating costs. Refinity expects to site an olefin gas plant adjacent to petrochemical steam cracker operations to take advantage of existing site infrastructure and product purification while also minimizing cost for transporting the olefin product.</w:t>
      </w:r>
    </w:p>
    <w:p>
      <w:pPr>
        <w:pStyle w:val="TextBody"/>
        <w:bidi w:val="0"/>
        <w:spacing w:lineRule="auto" w:line="288" w:before="120" w:after="120"/>
        <w:ind w:left="0" w:right="0" w:firstLine="360"/>
        <w:jc w:val="both"/>
        <w:rPr>
          <w:rFonts w:ascii="Times New Roman;serif" w:hAnsi="Times New Roman;serif"/>
          <w:b/>
          <w:i/>
          <w:color w:val="000000"/>
          <w:sz w:val="20"/>
        </w:rPr>
      </w:pPr>
      <w:r>
        <w:rPr>
          <w:rFonts w:ascii="Times New Roman;serif" w:hAnsi="Times New Roman;serif"/>
          <w:b/>
          <w:i/>
          <w:color w:val="000000"/>
          <w:sz w:val="20"/>
        </w:rPr>
        <w:t>Current Status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AeroFlexx is in the early stages of operations and is beginning to ramp up commercial production capabilities. AeroFlexx currently has all the initial commercial converter lines installed with a nameplate design capacity of over 100 million units per year. AeroFlexx has now achieved six consecutive quarters of revenue generation and continues to actively secure off-take agreements with partners seeking first-mover advantage through adoption of a superior packaging format.</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converting capacity at the facility in West Chester, Ohio (the “West Chester Facility”) is expected to provide a total manufacturing capacity of approximately 100 million packages per year, which is designed to demonstrate the minimum viable manufacturing footprint to achieve a cash flow break-even run rate for the West Chester Facility. The current manufacturing footprint installed and on order is projected to be sufficient to meet projected demand through 2026, with additional capacity expansions being staged to meet customer needs as offtake agreements and customer traction warrants.</w:t>
      </w:r>
    </w:p>
    <w:p>
      <w:pPr>
        <w:pStyle w:val="TextBody"/>
        <w:bidi w:val="0"/>
        <w:spacing w:lineRule="auto" w:line="288" w:before="0" w:after="0"/>
        <w:ind w:left="0" w:right="0" w:firstLine="360"/>
        <w:jc w:val="both"/>
        <w:rPr/>
      </w:pPr>
      <w:r>
        <w:rPr>
          <w:rFonts w:ascii="Times New Roman;serif" w:hAnsi="Times New Roman;serif"/>
          <w:b w:val="false"/>
          <w:color w:val="000000"/>
          <w:sz w:val="20"/>
        </w:rPr>
        <w:t>Refinity is an early-stage company that is just beginning operations. In 2025, Refinity built a core team and developed capabilities to commercialize the fluidized bed technology licensed from VTT.</w:t>
      </w:r>
      <w:r>
        <w:rPr>
          <w:color w:val="000000"/>
        </w:rPr>
        <w:t xml:space="preserve"> </w:t>
      </w:r>
      <w:r>
        <w:rPr>
          <w:rFonts w:ascii="Times New Roman;serif" w:hAnsi="Times New Roman;serif"/>
          <w:b w:val="false"/>
          <w:color w:val="000000"/>
          <w:sz w:val="20"/>
        </w:rPr>
        <w:t>Refinity developed partnerships with two leading engineering, procurement, and construction (EPC) firms; two fluidized bed equipment providers; and several process development consultants to support scale-up and conceptual design of demonstration scale and full commercial scale plants.</w:t>
      </w:r>
      <w:r>
        <w:rPr>
          <w:color w:val="000000"/>
        </w:rPr>
        <w:t xml:space="preserve"> </w:t>
      </w:r>
      <w:r>
        <w:rPr>
          <w:rFonts w:ascii="Times New Roman;serif" w:hAnsi="Times New Roman;serif"/>
          <w:b w:val="false"/>
          <w:color w:val="000000"/>
          <w:sz w:val="20"/>
        </w:rPr>
        <w:t>Refinity is advancing its plastic waste sourcing strategy and has commissioned experimental work at VTT for bench and pilot scale optimization of the fluidized bed process to convert available plastic wastes, sourced from the U.S. and European markets, to drop-in chemicals, including olefin (ethylene and propylene) gases and hydrocarbon liquids. That work is expected to continue through 2026. Refinity is working both independently and with Dow to identify candidate sites for first commercial demonstration plant.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120" w:after="120"/>
        <w:ind w:left="0" w:right="0" w:firstLine="360"/>
        <w:jc w:val="both"/>
        <w:rPr>
          <w:rFonts w:ascii="Times New Roman;serif" w:hAnsi="Times New Roman;serif"/>
          <w:b/>
          <w:i/>
          <w:color w:val="000000"/>
          <w:sz w:val="20"/>
        </w:rPr>
      </w:pPr>
      <w:r>
        <w:rPr>
          <w:rFonts w:ascii="Times New Roman;serif" w:hAnsi="Times New Roman;serif"/>
          <w:b/>
          <w:i/>
          <w:color w:val="000000"/>
          <w:sz w:val="20"/>
        </w:rPr>
        <w:t>Customer Landscape and Growth Strategy</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AeroFlexx serves CPG companies that currently rely on rigid bottles with caps or pumps, as well as flexible pouch packaging, to deliver liquid products to consumers. Aeroflexx addresses the growing global demand for more sustainable packaging by offering a differentiated format that combines the performance of rigid packaging with the efficiency of flexible solutions. AeroFlexx provides brands with a superior consumer experience while delivering meaningful supply chain and sustainability benefits through a simplified liquid packaging manufacturing platform. The business model operates with centralized converting operations owned and operated by AeroFlexx, complemented by strategically located filling machines deployed at or near where liquid products are formulated, enabling efficient regional production and global scalability. We are targeting brands of large, medium, and small consumer products companies. AeroFlexx plans to sell filling equipment directly to branded manufacturers or to their co-manufacturing partners that formulate the liquid. We produce the flat paks via our converting machines and intend to either partner with co-manufacturers to deliver filled and final packages to brands or sell the flat paks directly to the CPG companies to be filled on the AeroFlexx filling equipment. R&amp;D continues to innovate additional pak shapes and sizes along with enhancements to filling equipment and converting machines.</w:t>
      </w:r>
    </w:p>
    <w:p>
      <w:pPr>
        <w:pStyle w:val="TextBody"/>
        <w:bidi w:val="0"/>
        <w:spacing w:lineRule="auto" w:line="288" w:before="0" w:after="0"/>
        <w:ind w:left="0" w:right="0" w:firstLine="360"/>
        <w:jc w:val="both"/>
        <w:rPr/>
      </w:pPr>
      <w:r>
        <w:rPr>
          <w:rFonts w:ascii="Times New Roman;serif" w:hAnsi="Times New Roman;serif"/>
          <w:b w:val="false"/>
          <w:color w:val="000000"/>
          <w:sz w:val="20"/>
        </w:rPr>
        <w:t>Refinity will sell drop-in liquid and gas phase chemicals to petrochemical company customers, including Dow. Other prospective customers include multinationals such as BASF, LyondellBasell, SABIC, Shell, and TotalEnergies. To establish a market which does not exist at a global scale today, Refinity envisions playing a bigger role to create and enable the end-to-end plastic waste supply chain. Refinity’s overarching strategy is (1) to build expertise and competitive advantage in affordable plastic waste feedstock sourcing and (2) to develop and deploy robust fluidized bed conversion technologies which can use affordable wastes without much sorting or pretreatment to assure economical, globally scalable solutions.</w:t>
      </w:r>
      <w:r>
        <w:rPr>
          <w:color w:val="000000"/>
        </w:rPr>
        <w:t xml:space="preserve"> </w:t>
      </w:r>
      <w:r>
        <w:rPr>
          <w:rFonts w:ascii="Times New Roman;serif" w:hAnsi="Times New Roman;serif"/>
          <w:b w:val="false"/>
          <w:color w:val="000000"/>
          <w:sz w:val="20"/>
        </w:rPr>
        <w:t xml:space="preserve">In addition, a market for circular hydrocarbon products, including hydrotreated pyrolysis oil and sustainable/circular naphtha, already exists. Petrochemical companies currently purchase various sustainable liquid products as supplements or replacements for fossil naphtha, so Refinity’s entrance into that market is expected to be straightforward. </w:t>
      </w:r>
    </w:p>
    <w:p>
      <w:pPr>
        <w:pStyle w:val="TextBody"/>
        <w:bidi w:val="0"/>
        <w:spacing w:lineRule="auto" w:line="288" w:before="120" w:after="120"/>
        <w:ind w:left="0" w:right="0" w:firstLine="360"/>
        <w:jc w:val="both"/>
        <w:rPr>
          <w:rFonts w:ascii="Times New Roman;serif" w:hAnsi="Times New Roman;serif"/>
          <w:b/>
          <w:i/>
          <w:color w:val="000000"/>
          <w:sz w:val="20"/>
        </w:rPr>
      </w:pPr>
      <w:r>
        <w:rPr>
          <w:rFonts w:ascii="Times New Roman;serif" w:hAnsi="Times New Roman;serif"/>
          <w:b/>
          <w:i/>
          <w:color w:val="000000"/>
          <w:sz w:val="20"/>
        </w:rPr>
        <w:t>Competition</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AeroFlexx competes directly with different package format options that CPG companies can choose for their specific liquid product that is sold to consumers. These package formats include, but may not be limited to, rigid, stand cap, or pouch packaging. Some of these package formats may also incorporate some type of air chamber as an added feature.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While many options exist for advanced recycling of plastic waste, few processes have achieved meaningful global success in the market. Mechanical recycling is the incumbent technology that accounts for most of the 9% of plastics recycling today. However, Refinity primarily considers players with thermal depolymerization and pyrolysis recycling technologies as potential competitors. Firms such as Alterra, Brightmark, Plastic Energy, Mura/Licella, Eastman Chemical, and ExxonMobil use thermochemical conversion processes to convert plastic waste to hydrocarbon liquids.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Materials from mechanical recycling can only be used in niche applications and as such have limited market potential, while producing hydrocarbon liquids and gases as raw materials for the petrochemical industry which can be directly or indirectly used into virgin polymer supply chains have greater market potential. Refinity believes that its fluidized bed processing technology can utilize mixed plastic waste with minimal sorting and pretreatment, so Refinity expects to enable better economic viability than competing processes. The resulting hydrocarbon liquid (e.g., naphtha substitute) and gas (e.g., olefins including ethylene and propylene) products can be fed directly into the existing olefins supply chain, providing access to large end markets. Refinity believes that the greatest competitive advantage of our fluidized bed technology versus other competing thermochemical conversion technologies and companies is higher yield of plastic waste to drop-in chemical products. Compared to pyrolysis conversion of plastic waste to pyrolysis oil, Refinity believes that its fluidized bed process yield to hydrocarbon liquids will be 30-50% higher.</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Intellectual Property</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AeroFlexx is commercializing a liquid packaging technology that was initially developed by P&amp;G. P&amp;G granted AeroFlexx a worldwide license under an Amended and Restated Patent and Know-How License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dated October 25, 2021, between P&amp;G and AeroFlexx for a proprietary flexible package using an air frame and an integrated valve or closure, along with methods of manufacturing. AeroFlexx has developed and owns IP for trademarks and in improvements solely developed by AeroFlexx to the package around materials and recyclability, and those improvements are in the form of AeroFlexx trade secrets and issued and pending patents.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Refinity exclusively licensed the rights to novel technology for advanced recycling of mixed plastic waste from VTT. The core technology is a proprietary application of fluidized bed processes that are routinely operated in the refining industry to make transportation fuels and in the petrochemical industry to make high volume chemicals. Refinity also filed patent applications covering novel reactor designs and specific control conditions as well as its ability to convert certain difficult-to-recycle plastic wastes that conventional technology solutions cannot effectively address. Further, Refinity licensed intellectual property from a U.S. university for technology that provides more efficient and flexible methods for feeding plastic waste into conversion systems and from a U.S. national lab for catalyst technology enabling, conversion of gas products into high-value chemicals including sustainable aviation fuel and its precursors.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INFORMATION ABOUT OUR EXECUTIVE OFFICERS</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Biographical information concerning our executive officers is set forth below.</w:t>
      </w:r>
    </w:p>
    <w:p>
      <w:pPr>
        <w:pStyle w:val="TextBody"/>
        <w:bidi w:val="0"/>
        <w:spacing w:before="0" w:after="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1615"/>
        <w:gridCol w:w="1284"/>
        <w:gridCol w:w="1298"/>
        <w:gridCol w:w="266"/>
        <w:gridCol w:w="266"/>
        <w:gridCol w:w="268"/>
        <w:gridCol w:w="1083"/>
        <w:gridCol w:w="1007"/>
        <w:gridCol w:w="1011"/>
        <w:gridCol w:w="615"/>
        <w:gridCol w:w="615"/>
        <w:gridCol w:w="877"/>
      </w:tblGrid>
      <w:tr>
        <w:trPr/>
        <w:tc>
          <w:tcPr>
            <w:tcW w:w="1615"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r>
      <w:tr>
        <w:trPr/>
        <w:tc>
          <w:tcPr>
            <w:tcW w:w="4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Age</w:t>
            </w:r>
          </w:p>
        </w:tc>
        <w:tc>
          <w:tcPr>
            <w:tcW w:w="3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Position Held</w:t>
            </w:r>
          </w:p>
        </w:tc>
        <w:tc>
          <w:tcPr>
            <w:tcW w:w="21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Officer Since</w:t>
            </w:r>
            <w:r>
              <w:rPr>
                <w:rFonts w:ascii="Times New Roman;serif" w:hAnsi="Times New Roman;serif"/>
                <w:b/>
                <w:color w:val="000000"/>
                <w:sz w:val="13"/>
              </w:rPr>
              <w:t>1</w:t>
            </w:r>
          </w:p>
        </w:tc>
      </w:tr>
      <w:tr>
        <w:trPr/>
        <w:tc>
          <w:tcPr>
            <w:tcW w:w="4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Gregory William (“Bill”) Haskell</w:t>
            </w:r>
          </w:p>
        </w:tc>
        <w:tc>
          <w:tcPr>
            <w:tcW w:w="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69</w:t>
            </w:r>
          </w:p>
        </w:tc>
        <w:tc>
          <w:tcPr>
            <w:tcW w:w="3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2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4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Yablunosky</w:t>
            </w:r>
          </w:p>
        </w:tc>
        <w:tc>
          <w:tcPr>
            <w:tcW w:w="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63</w:t>
            </w:r>
          </w:p>
        </w:tc>
        <w:tc>
          <w:tcPr>
            <w:tcW w:w="3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2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4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("Mike") Otworth</w:t>
            </w:r>
          </w:p>
        </w:tc>
        <w:tc>
          <w:tcPr>
            <w:tcW w:w="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64</w:t>
            </w:r>
          </w:p>
        </w:tc>
        <w:tc>
          <w:tcPr>
            <w:tcW w:w="3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Chairman</w:t>
            </w:r>
          </w:p>
        </w:tc>
        <w:tc>
          <w:tcPr>
            <w:tcW w:w="2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4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 John Scott</w:t>
            </w:r>
          </w:p>
        </w:tc>
        <w:tc>
          <w:tcPr>
            <w:tcW w:w="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75</w:t>
            </w:r>
          </w:p>
        </w:tc>
        <w:tc>
          <w:tcPr>
            <w:tcW w:w="3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Strategy Officer</w:t>
            </w:r>
          </w:p>
        </w:tc>
        <w:tc>
          <w:tcPr>
            <w:tcW w:w="2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4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Roland Austrup</w:t>
            </w:r>
          </w:p>
        </w:tc>
        <w:tc>
          <w:tcPr>
            <w:tcW w:w="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w:t>
            </w:r>
          </w:p>
        </w:tc>
        <w:tc>
          <w:tcPr>
            <w:tcW w:w="3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Growth Officer</w:t>
            </w:r>
          </w:p>
        </w:tc>
        <w:tc>
          <w:tcPr>
            <w:tcW w:w="2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10205" w:type="dxa"/>
            <w:gridSpan w:val="12"/>
            <w:tcBorders/>
            <w:tcMar>
              <w:top w:w="0" w:type="dxa"/>
              <w:left w:w="0" w:type="dxa"/>
              <w:bottom w:w="0" w:type="dxa"/>
              <w:right w:w="0" w:type="dxa"/>
            </w:tcMar>
            <w:vAlign w:val="center"/>
          </w:tcPr>
          <w:p>
            <w:pPr>
              <w:pStyle w:val="TableContents"/>
              <w:bidi w:val="0"/>
              <w:spacing w:before="120" w:after="283"/>
              <w:jc w:val="both"/>
              <w:rPr/>
            </w:pPr>
            <w:r>
              <w:rPr/>
            </w:r>
          </w:p>
          <w:p>
            <w:pPr>
              <w:pStyle w:val="TableContents"/>
              <w:bidi w:val="0"/>
              <w:spacing w:lineRule="auto" w:line="240" w:before="120" w:after="283"/>
              <w:jc w:val="both"/>
              <w:rPr/>
            </w:pPr>
            <w:r>
              <w:rPr>
                <w:rFonts w:ascii="Times New Roman;serif" w:hAnsi="Times New Roman;serif"/>
                <w:b w:val="false"/>
                <w:color w:val="000000"/>
                <w:sz w:val="13"/>
              </w:rPr>
              <w:t xml:space="preserve">(1) </w:t>
            </w:r>
            <w:r>
              <w:rPr>
                <w:rFonts w:ascii="Times New Roman;serif" w:hAnsi="Times New Roman;serif"/>
                <w:b w:val="false"/>
                <w:color w:val="000000"/>
                <w:sz w:val="20"/>
              </w:rPr>
              <w:t>Each executive officer has served in their present capacity since the closing of the Business Combination, and the dates listed in this table are when each executive officer joined and started working in this capacity for Innventure, Inc.</w:t>
            </w:r>
          </w:p>
        </w:tc>
      </w:tr>
    </w:tbl>
    <w:p>
      <w:pPr>
        <w:pStyle w:val="TextBody"/>
        <w:bidi w:val="0"/>
        <w:spacing w:before="0" w:after="0"/>
        <w:jc w:val="both"/>
        <w:rPr/>
      </w:pPr>
      <w:r>
        <w:rPr/>
      </w:r>
    </w:p>
    <w:p>
      <w:pPr>
        <w:pStyle w:val="TextBody"/>
        <w:bidi w:val="0"/>
        <w:spacing w:lineRule="auto" w:line="288" w:before="120" w:after="120"/>
        <w:ind w:left="0" w:right="0" w:firstLine="360"/>
        <w:jc w:val="both"/>
        <w:rPr/>
      </w:pPr>
      <w:r>
        <w:rPr>
          <w:rFonts w:ascii="Times New Roman;serif" w:hAnsi="Times New Roman;serif"/>
          <w:b/>
          <w:i/>
          <w:color w:val="000000"/>
          <w:sz w:val="20"/>
        </w:rPr>
        <w:t>Gregory William (“Bill”) Haskell</w:t>
      </w:r>
      <w:r>
        <w:rPr>
          <w:rFonts w:ascii="Times New Roman;serif" w:hAnsi="Times New Roman;serif"/>
          <w:b w:val="false"/>
          <w:color w:val="000000"/>
          <w:sz w:val="20"/>
        </w:rPr>
        <w:t xml:space="preserve">, 69, is Innventure’s Chief Executive Officer and a Class I director. Mr. Haskell previously served as Chief Executive Officer and Manager of Innventure LLC from 2021 until 2024. Prior to his time with Innventure LLC, he was a co-founder and President of both XL Vision and XL TechGroup (“XLTG”), which created the foundational business building methodology upon which Innventure is based, from 1993 to 1999 and 2001 to 2011, respectively. Mr. Haskell has worked with the key principals of Innventure for over 20 years. He has also served as a Chief Executive Officer of a London Stock Exchange-listed company and has been a director of over a dozen companies. Most recently, Mr. Haskell was a partner at Bellview Associates, a boutique investment bank focused on converting private companies into employee-owned enterprises from 2019 to 2021. He has over 30 years of experience in company creation and development. Mr. Haskell holds a B.S. degree in engineering and conducted post-graduate work in applied mathematics at Iowa State University. </w:t>
      </w:r>
    </w:p>
    <w:p>
      <w:pPr>
        <w:pStyle w:val="TextBody"/>
        <w:bidi w:val="0"/>
        <w:spacing w:lineRule="auto" w:line="288" w:before="120" w:after="120"/>
        <w:ind w:left="0" w:right="0" w:firstLine="360"/>
        <w:jc w:val="both"/>
        <w:rPr/>
      </w:pPr>
      <w:r>
        <w:rPr>
          <w:rFonts w:ascii="Times New Roman;serif" w:hAnsi="Times New Roman;serif"/>
          <w:b/>
          <w:i/>
          <w:color w:val="000000"/>
          <w:sz w:val="20"/>
        </w:rPr>
        <w:t>David Yablunosky</w:t>
      </w:r>
      <w:r>
        <w:rPr>
          <w:rFonts w:ascii="Times New Roman;serif" w:hAnsi="Times New Roman;serif"/>
          <w:b w:val="false"/>
          <w:color w:val="000000"/>
          <w:sz w:val="20"/>
        </w:rPr>
        <w:t xml:space="preserve">, 63, is Innventure’s Chief Financial Officer (“CFO”) and a Class II director. Mr. Yablunosky has served as CFO of Innventure LLC since 2023. Previously, he was CFO of Embraer Aircraft Holding, Inc., the U.S. subsidiary of the Brazilian aerospace and defense conglomerate Embraer, from 2022 to 2023; CFO and a Board Member of Embraer Executive Aircraft, Inc., another subsidiary of Embraer, from 2021 to 2023; and a Board Member of Embraer Defense and Security, Inc., another subsidiary of Embraer, from 2021 to 2023. Prior to 2021, Mr. Yablunosky served as the Director of Corporate Finance at Oxbow Carbon, LLC, a privately-held energy company. He brings over 30 years of finance experience working for large MNCs such as Ford Motor Company, Ford Credit, Office Depot, Oxbow Carbon LLC, and Embraer. Before his career in finance, Mr. Yablunosky served nine years in the U.S. Navy and worked in the Pentagon on General Colin Powell’s staff. Mr. Yablunosky holds a B.S. in Mathematics from the U.S. Naval Academy and an MBA in Finance from the University of Maryland. He also holds a graduate-level Certificate in Accounting from the Harvard University Extension School and has completed the Advanced Management Program at the Harvard Business School. </w:t>
      </w:r>
    </w:p>
    <w:p>
      <w:pPr>
        <w:pStyle w:val="TextBody"/>
        <w:bidi w:val="0"/>
        <w:spacing w:lineRule="auto" w:line="288" w:before="120" w:after="120"/>
        <w:ind w:left="0" w:right="0" w:firstLine="360"/>
        <w:jc w:val="both"/>
        <w:rPr/>
      </w:pPr>
      <w:r>
        <w:rPr>
          <w:rFonts w:ascii="Times New Roman;serif" w:hAnsi="Times New Roman;serif"/>
          <w:b/>
          <w:i/>
          <w:color w:val="000000"/>
          <w:sz w:val="20"/>
        </w:rPr>
        <w:t>Michael (“Mike”) Otworth</w:t>
      </w:r>
      <w:r>
        <w:rPr>
          <w:rFonts w:ascii="Times New Roman;serif" w:hAnsi="Times New Roman;serif"/>
          <w:b w:val="false"/>
          <w:color w:val="000000"/>
          <w:sz w:val="20"/>
        </w:rPr>
        <w:t xml:space="preserve">, 64, is Innventure’s Executive Chairman and a Class III director. Mr. Otworth has served as Executive Chairman of Innventure LLC since 2015. Mr. Otworth was the Founding Chief Executive Officer and Chairman of the board of directors of PureCycle, an innovative plastic waste processing company, from 2015 to 2022. Mr. Otworth and team took PCT from an early-stage concept to an operational pilot and funded its first commercial plant, followed by a successful public offering in March of 2021. Prior to Innventure, Mr. Otworth served as President and Founding Partner of Green Ocean Innovation, a company that provided technology sourcing, innovation strategy, and development services to Lilly/Elanco Animal Health, from 2008 to 2015. Mr. Otworth also served as Vice-President and Founding CEO of multiple start-ups at XLTG from 1996 to 2000. Mr. Otworth began his career on Capitol Hill working as a legislative aide and committee staff member in the U.S. House of Representatives.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120" w:after="120"/>
        <w:ind w:left="0" w:right="0" w:firstLine="360"/>
        <w:jc w:val="both"/>
        <w:rPr/>
      </w:pPr>
      <w:r>
        <w:rPr>
          <w:rFonts w:ascii="Times New Roman;serif" w:hAnsi="Times New Roman;serif"/>
          <w:b/>
          <w:i/>
          <w:color w:val="000000"/>
          <w:sz w:val="20"/>
        </w:rPr>
        <w:t>Dr. John Scott</w:t>
      </w:r>
      <w:r>
        <w:rPr>
          <w:rFonts w:ascii="Times New Roman;serif" w:hAnsi="Times New Roman;serif"/>
          <w:b w:val="false"/>
          <w:color w:val="000000"/>
          <w:sz w:val="20"/>
        </w:rPr>
        <w:t>, 75, is Innventure’s Chief Strategy Officer. Dr. Scott has served as Chief Strategy Officer at Innventure LLC since 2015. Prior to co-founding Innventure LLC, Dr. Scott served as Founder and CEO of XLTG, where he developed the DownSelect method that Innventure uses today to vet disruptive technologies from top MNCs and their associated business opportunities, from 1993 to 2013. Dr. Scott also served as an academic scientist at numerous universities and government labs, including the University of Maryland, the University of North Carolina and the University of Arizona, as well as the NASA Goddard Space Flight Center. He earned his Ph.D. in Physics and Astrophysics from the University of Arizona and has published over 60 academic papers.</w:t>
      </w:r>
    </w:p>
    <w:p>
      <w:pPr>
        <w:pStyle w:val="TextBody"/>
        <w:bidi w:val="0"/>
        <w:spacing w:lineRule="auto" w:line="268" w:before="0" w:after="0"/>
        <w:ind w:left="0" w:right="0" w:firstLine="360"/>
        <w:jc w:val="both"/>
        <w:rPr/>
      </w:pPr>
      <w:r>
        <w:rPr>
          <w:rFonts w:ascii="Times New Roman;serif" w:hAnsi="Times New Roman;serif"/>
          <w:b/>
          <w:i/>
          <w:color w:val="000000"/>
          <w:sz w:val="20"/>
        </w:rPr>
        <w:t>Roland Austrup</w:t>
      </w:r>
      <w:r>
        <w:rPr>
          <w:rFonts w:ascii="Times New Roman;serif" w:hAnsi="Times New Roman;serif"/>
          <w:b w:val="false"/>
          <w:color w:val="000000"/>
          <w:sz w:val="20"/>
        </w:rPr>
        <w:t>, 62, is Innventure’s Chief Growth Officer. Roland has served as Innventure LLC’s Chief Growth Officer since June 2024 and as a member of Innventure LLC’s Executive Committee since 2023. Prior to his change of title to Chief Growth Officer in June 2024, Mr. Austrup had served as Head of Capital Markets since 2023, and he also previously served as Innventure LLC’s CFO from 2021 to 2023. Since 2019, Mr. Austrup has served as Chairman &amp; Managing Principal of WaveFront Global Asset Management Corp., a Toronto-based global hedge fund company he co-founded in 2003. Mr. Austrup is also a co-founder and director of Envest Corp., a downstream energy company, and an Advisory Board member of both the Master of Quantitative Finance program at the University of Waterloo and First Tracks Capital, a Canadian private equity firm. Prior to that, Roland was an Investment Advisor with BMO Nesbitt Burns Inc. and began his career as a Commodities Broker with ScotiaMcLeod Inc. where he was primarily involved with hedging commodity price risk for corporate clients. Roland holds a B.A. with Honours from the University of Western Ontario.</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120" w:after="12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You should carefully consider the following risk factors, together with all of the other information included in this Form 10-K. The market price of the Company’s common stock, par value $0.0001 per share (“Common Stock”) could decline due to any of these risks, in which case you could lose all or part of your investment. In assessing these risks, you should also refer to the other information included in this Form 10-K, including the consolidated financial statements and notes thereto and the section entitled “Management’s Discussion and Analysis of Financial Condition and Results of Operations.” The Company’s business, financial condition or results of operations could be affected materially and adversely by any of the risks discussed below. We cannot assure you that any of the events discussed below will not occur.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Summary of Risk Factors</w:t>
      </w:r>
    </w:p>
    <w:p>
      <w:pPr>
        <w:pStyle w:val="TextBody"/>
        <w:bidi w:val="0"/>
        <w:spacing w:before="0" w:after="0"/>
        <w:jc w:val="left"/>
        <w:rPr/>
      </w:pPr>
      <w:r>
        <w:rPr/>
      </w:r>
    </w:p>
    <w:p>
      <w:pPr>
        <w:pStyle w:val="TextBody"/>
        <w:bidi w:val="0"/>
        <w:spacing w:lineRule="auto" w:line="268" w:before="0" w:after="0"/>
        <w:ind w:left="0" w:right="0" w:firstLine="360"/>
        <w:jc w:val="both"/>
        <w:rPr/>
      </w:pPr>
      <w:r>
        <w:rPr>
          <w:rFonts w:ascii="Times New Roman;serif" w:hAnsi="Times New Roman;serif"/>
          <w:b w:val="false"/>
          <w:color w:val="000000"/>
          <w:sz w:val="20"/>
        </w:rPr>
        <w:t>Our business is subject to a number of risks and uncertainties</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Some of these principal risks include the following:</w:t>
      </w:r>
    </w:p>
    <w:p>
      <w:pPr>
        <w:pStyle w:val="TextBody"/>
        <w:bidi w:val="0"/>
        <w:spacing w:before="0" w:after="0"/>
        <w:ind w:left="0" w:right="0" w:firstLine="360"/>
        <w:jc w:val="both"/>
        <w:rPr/>
      </w:pPr>
      <w:r>
        <w:rPr/>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Innventure may not be able to obtain additional financing to fund the operations and growth of the business.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There is uncertainty regarding Innventure’s ability to maintain liquidity sufficient to operate its business effectively, which raises substantial doubt about its ability to continue as a going concern.</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Innventure depends on its Innventure Companies for revenue and cash, and the Innventure Companies are not guaranteed to succeed.</w:t>
      </w:r>
    </w:p>
    <w:p>
      <w:pPr>
        <w:pStyle w:val="TextBody"/>
        <w:bidi w:val="0"/>
        <w:spacing w:before="0" w:after="0"/>
        <w:ind w:left="0" w:right="0" w:hanging="36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Innventure may not be successful in finding future opportunities to license or acquire breakthrough technology solutions from Technology Solutions Providers, and any failure to satisfy the requirement of or maintain relationships with its technology providers could materially aversely affect its business.</w:t>
      </w:r>
    </w:p>
    <w:p>
      <w:pPr>
        <w:pStyle w:val="TextBody"/>
        <w:bidi w:val="0"/>
        <w:spacing w:before="0" w:after="0"/>
        <w:ind w:left="0" w:right="0" w:hanging="36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Innventure’s growth strategy depends on its ability to scale the Innventure Companies effectively, and it may be unable to do so successfully.</w:t>
      </w:r>
    </w:p>
    <w:p>
      <w:pPr>
        <w:pStyle w:val="TextBody"/>
        <w:bidi w:val="0"/>
        <w:spacing w:before="0" w:after="0"/>
        <w:ind w:left="0" w:right="0" w:hanging="36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WTI Facility may impair Innventure LLC’s, Innventure’s and the Innventure Companies’ financial and operating flexibility.</w:t>
      </w:r>
    </w:p>
    <w:p>
      <w:pPr>
        <w:pStyle w:val="TextBody"/>
        <w:bidi w:val="0"/>
        <w:spacing w:before="0" w:after="0"/>
        <w:ind w:left="0" w:right="0" w:hanging="36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It is not possible to predict the extent to which Innventure will, intends to, or may rely on Yorkville and the SEPA as a source of funding, including the actual number of shares Innventure will sell under the SEPA to Yorkville or the actual gross proceeds resulting from those sales.</w:t>
      </w:r>
    </w:p>
    <w:p>
      <w:pPr>
        <w:pStyle w:val="TextBody"/>
        <w:bidi w:val="0"/>
        <w:spacing w:before="0" w:after="0"/>
        <w:ind w:left="0" w:right="0" w:hanging="36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Innventure’s pursuit of new Innventure Companies and acquisitions of new technologies could disrupt its ongoing business, present risks not originally contemplated and materially adversely affect its business, reputation, results of operations and financial condition.</w:t>
      </w:r>
    </w:p>
    <w:p>
      <w:pPr>
        <w:pStyle w:val="TextBody"/>
        <w:bidi w:val="0"/>
        <w:spacing w:before="0" w:after="0"/>
        <w:ind w:left="0" w:right="0" w:hanging="36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Innventure Companies are early-stage companies, and their limited operating history makes it difficult to evaluate their future prospects and the risks and challenges they may encounter.</w:t>
      </w:r>
    </w:p>
    <w:p>
      <w:pPr>
        <w:pStyle w:val="TextBody"/>
        <w:bidi w:val="0"/>
        <w:spacing w:before="0" w:after="0"/>
        <w:ind w:left="0" w:right="0" w:hanging="36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Accelsius’ cooling products may be subject to increased regulatory scrutiny due to their use of working fluid refrigerants that contain fluorine.</w:t>
      </w:r>
    </w:p>
    <w:p>
      <w:pPr>
        <w:pStyle w:val="TextBody"/>
        <w:bidi w:val="0"/>
        <w:spacing w:before="0" w:after="0"/>
        <w:ind w:left="0" w:right="0" w:hanging="36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Accelsius’ results of operations may be adversely affected by long and unpredictable deployment cycles in the data center market, which could delay or reduce the conversion of bookings into revenue.</w:t>
      </w:r>
    </w:p>
    <w:p>
      <w:pPr>
        <w:pStyle w:val="TextBody"/>
        <w:bidi w:val="0"/>
        <w:spacing w:before="0" w:after="0"/>
        <w:ind w:left="0" w:right="0" w:hanging="36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If Accelsius is unable to develop and commercialize next-generation cooling solutions capable of addressing increasing chip power densities and thermal loads, our business and competitive position could be materially adversely affected.</w:t>
      </w:r>
    </w:p>
    <w:p>
      <w:pPr>
        <w:pStyle w:val="TextBody"/>
        <w:bidi w:val="0"/>
        <w:spacing w:before="0" w:after="0"/>
        <w:ind w:left="0" w:right="0" w:hanging="36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The failure of Accelsius and AFX to access necessary raw materials or other components in a timely manner and to specification or their inability to maintain relationships with suppliers and manufacturing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120" w:after="12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partners could prevent them from delivering products within required time frames and could cause production delays, cancellations, penalty payments and damage to their brands and reputations.</w:t>
      </w:r>
    </w:p>
    <w:p>
      <w:pPr>
        <w:pStyle w:val="TextBody"/>
        <w:bidi w:val="0"/>
        <w:spacing w:before="0" w:after="0"/>
        <w:ind w:left="0" w:right="0" w:hanging="36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Refinity faces risks in designing, constructing and operating its first commercial-scale manufacturing facility, and it may be unable to successfully or timely complete and bring the facility online.</w:t>
      </w:r>
    </w:p>
    <w:p>
      <w:pPr>
        <w:pStyle w:val="TextBody"/>
        <w:bidi w:val="0"/>
        <w:spacing w:before="0" w:after="0"/>
        <w:ind w:left="0" w:right="0" w:hanging="36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market price of our Common Stock is likely to be highly volatile, and you may lose some or all of your investment.</w:t>
      </w:r>
    </w:p>
    <w:p>
      <w:pPr>
        <w:pStyle w:val="TextBody"/>
        <w:bidi w:val="0"/>
        <w:spacing w:before="0" w:after="0"/>
        <w:ind w:left="0" w:right="0" w:hanging="36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Future offerings of debt or offerings or issuances of equity securities by Innventure may adversely affect the market price of the Common Stock or otherwise dilute all other stockholders and may result in the issuance of securities with rights that are senior to those of the holders of Common Stock.</w:t>
      </w:r>
    </w:p>
    <w:p>
      <w:pPr>
        <w:pStyle w:val="TextBody"/>
        <w:bidi w:val="0"/>
        <w:spacing w:before="0" w:after="0"/>
        <w:ind w:left="0" w:right="0" w:hanging="36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Additional financing transactions by the Innventure Companies could impact your rights as a stockholder of Innventure.</w:t>
      </w:r>
    </w:p>
    <w:p>
      <w:pPr>
        <w:pStyle w:val="TextBody"/>
        <w:bidi w:val="0"/>
        <w:spacing w:before="0" w:after="0"/>
        <w:ind w:left="0" w:right="0" w:hanging="36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Stockholder activism or unsolicited acquisition proposals could disrupt our business, divert management’s attention and impede our ability to execute our business model and achieve our long-term strategic objectives.</w:t>
      </w:r>
    </w:p>
    <w:p>
      <w:pPr>
        <w:pStyle w:val="TextBody"/>
        <w:bidi w:val="0"/>
        <w:spacing w:before="0" w:after="0"/>
        <w:ind w:left="0" w:right="0" w:hanging="36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Provisions in our Amended and Restated Certificate of Incorporation (the “A&amp;R Certificate of Incorporation”) and under Delaware law could discourage a takeover that stockholders may consider favorable and may lead to entrenchment of management.</w:t>
      </w:r>
    </w:p>
    <w:p>
      <w:pPr>
        <w:pStyle w:val="TextBody"/>
        <w:bidi w:val="0"/>
        <w:spacing w:before="0" w:after="0"/>
        <w:ind w:left="0" w:right="0" w:hanging="36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If Innventure’s estimates or judgments relating to its critical accounting estimates prove to be incorrect or financial reporting standards or interpretations change, Innventure’s results of operations could be adversely affected.</w:t>
      </w:r>
    </w:p>
    <w:p>
      <w:pPr>
        <w:pStyle w:val="TextBody"/>
        <w:bidi w:val="0"/>
        <w:spacing w:before="0" w:after="0"/>
        <w:ind w:left="0" w:right="0" w:hanging="36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If Innventure is deemed to be an investment company under the Investment Company Act, it may be required to institute burdensome compliance requirements and its activities may be restricted, which may make it difficult to operate or to execute its growth plans.</w:t>
      </w:r>
    </w:p>
    <w:p>
      <w:pPr>
        <w:pStyle w:val="TextBody"/>
        <w:bidi w:val="0"/>
        <w:spacing w:before="0" w:after="0"/>
        <w:ind w:left="0" w:right="0" w:hanging="36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Innventure may be unable to sufficiently protect the IP rights of itself and the Innventure Companies and may encounter disputes from time to time relating to its use of the IP of third parties.</w:t>
      </w:r>
    </w:p>
    <w:p>
      <w:pPr>
        <w:pStyle w:val="TextBody"/>
        <w:bidi w:val="0"/>
        <w:spacing w:before="0" w:after="0"/>
        <w:ind w:left="0" w:right="0" w:hanging="36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Innventure, the Innventure Companies, and Innventure’s MNC partners may be negatively impacted by volatility in the political and economic environment, geopolitical unrest, economic downturns and increases in interest rates, and a period of sustained inflation, which could have an adverse impact on Innventure’s and the Innventure Companies’ business, financial condition, results of operations and prospects.</w:t>
      </w:r>
    </w:p>
    <w:p>
      <w:pPr>
        <w:pStyle w:val="TextBody"/>
        <w:bidi w:val="0"/>
        <w:spacing w:before="0" w:after="0"/>
        <w:ind w:left="0" w:right="0" w:hanging="36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Changes in U.S. or foreign trade policies, including additional tariffs or global trade conflicts, may adversely impact our business and operating results.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Cyber-attacks or a failure in Innventure’s information technology and data security infrastructure could adversely affect Innventure’s business and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Risks Related to Innventure’s Business</w:t>
      </w:r>
    </w:p>
    <w:p>
      <w:pPr>
        <w:pStyle w:val="TextBody"/>
        <w:bidi w:val="0"/>
        <w:spacing w:before="0" w:after="0"/>
        <w:ind w:left="0" w:right="0" w:firstLine="36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Innventure may not be able to obtain additional financing to fund the operations and growth of the business.</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Innventure and the Innventure Companies expect to require additional financing to fund their operations or growth. The failure to secure additional financing could have a material adverse effect on the continued development or growth of Innventure and the Innventure Companies. Such financings may result in dilution to stockholders, issuance of securities with priority as to liquidation and dividend and other rights more favorable than Common Stock, imposition of debt covenants and repayment obligations, or other restrictions that may adversely affect their business. In addition, Innventure may seek additional capital due to favorable market conditions or strategic considerations even if it believes that it has sufficient funds for current or future operating plans. There can be no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120" w:after="12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assurance that financing will be available to Innventure on favorable terms, or at all. The inability to obtain financing when needed may make it more difficult for Innventure and the Innventure Companies to operate their businesses or implement their growth plans.</w:t>
      </w:r>
    </w:p>
    <w:p>
      <w:pPr>
        <w:pStyle w:val="TextBody"/>
        <w:bidi w:val="0"/>
        <w:spacing w:before="0" w:after="0"/>
        <w:ind w:left="0" w:right="0" w:firstLine="36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There is uncertainty regarding Innventure’s ability to maintain liquidity sufficient to operate its business effectively, which raises substantial doubt about its ability to continue as a going concern.</w:t>
      </w:r>
    </w:p>
    <w:p>
      <w:pPr>
        <w:pStyle w:val="TextBody"/>
        <w:bidi w:val="0"/>
        <w:spacing w:before="0" w:after="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independent registered public accounting firm for Innventure issued a report on the audited financial statements for the years ended December 31, 2025 and December 31, 2024 for Innventure that includes an explanatory paragraph expressing substantial doubt in Innventure’s ability to continue as a going concern for one year from the date of such report. The ability of Innventure to continue as a going concern is dependent on the Company’s ability to obtain additional equity or debt financing or to generate cash flow from operations. The substantial doubt regarding the potential ability of Innventure to continue as a going concern may adversely affect its ability to obtain such debt or equity financing on reasonable terms or at all, or to secure new customers or relationships, including relationships with Technology Solutions Providers. Additionally, if Innventure is unable to continue as a going concern, investors, including holders of Common Stock, may lose some or all of their investment.</w:t>
      </w:r>
    </w:p>
    <w:p>
      <w:pPr>
        <w:pStyle w:val="TextBody"/>
        <w:bidi w:val="0"/>
        <w:spacing w:before="0" w:after="0"/>
        <w:ind w:left="0" w:right="0" w:firstLine="360"/>
        <w:jc w:val="both"/>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Innventure depends on its Innventure Companies for revenue and cash, and the Innventure Companies are not guaranteed to succeed.</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Innventure’s principal operation is to partner with Technology Solutions Providers to acquire new IP through newly-created entities where Innventure supports the initial funding and management of the company. Innventure also conducts operations through its subsidiaries, including the investment management services provided to the ESG Fund. There can be no assurance that the Innventure Companies that Innventure has launched or may launch in the future will succeed, and their future financial performance is uncertain. Launching and supporting the Innventure Companies could be very costly and could distract Innventure’s management from its other operations or other Innventure Companies.</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Innventure’s ability to generate cash to meet its obligations or to pay dividends will be highly dependent on the earnings of, and receipt of funds from, its investment management services and its equity ownership interests in the Innventure Companies. The ability of the Innventure Companies to generate sufficient revenue to allow Innventure and them to make scheduled payments on their obligations will depend on their future financial performance, which will be affected by a range of economic, competitive and business factors, many of which will be outside of Innventure’s control. Innventure cannot assure you that the cash flow and future earnings of the Innventure Companies will be adequate for the Innventure Companies to service any corporate obligations or operating needs. </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the Innventure Companies do not generate sufficient cash flow from future operations to satisfy corporate obligations and operating needs or if Innventure is unable to access the cash of its Innventure Companies through distributions, dividend payments or loans, Innventure may have to: undertake alternative financing plans (such as refinancing), restructure debt, sell assets, reduce or delay capital investments, or seek to raise additional capital. Innventure cannot assure you that any such alternative refinancing would be possible, that any assets could be sold, or, if sold, of the timing of the sales and the amount of proceeds realized from those sales, that additional financing could be obtained on acceptable terms, if at all, or that additional financing would be permitted under the terms of Innventure’s various debt instruments then in effect. Innventure’s inability to generate and access sufficient cash flow from the Innventure Companies to satisfy its obligations, or to refinance its obligations on commercially reasonable terms, would have an adverse effect on its business, financial condition and results of operations. Furthermore, Innventure and the Innventure Companies may incur substantial additional indebtedness in the future that may severely restrict or prohibit the Innventure Companies from making distributions, paying dividends or making loans to Innventure.</w:t>
      </w:r>
    </w:p>
    <w:p>
      <w:pPr>
        <w:pStyle w:val="TextBody"/>
        <w:bidi w:val="0"/>
        <w:spacing w:before="0" w:after="0"/>
        <w:ind w:left="0" w:right="0" w:firstLine="360"/>
        <w:jc w:val="both"/>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Innventure may not be successful in finding future opportunities to license or acquire breakthrough technology solutions, and any failure to satisfy the requirements of or maintain relationships with its technology providers could materially adversely affect its business.</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Innventure relies on its ability to identify and acquire breakthrough technology solutions from Technology Solutions Providers to create and operate new entities that generate future revenues. If Innventure is unable to reach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120" w:after="12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agreements with Technology Solutions Providers on acceptable terms for license or acquisition of IP related to certain technology solutions, Innventure may have to curtail the founding and operating of Innventure Companies. If Innventure fails to identify and acquire further technology solutions to form the basis of new Innventure Companies or does not have sufficient funds or expertise to undertake the necessary development and commercialization activities required to make those companies and the acquired technology solutions commercially viable, Innventure’s business, financial condition, results of operations and prospects may be materially and adversely affected.</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the terms of Innventure and the Innventure Companies’ agreements with P&amp;G, Nokia, and VTT, and any agreements they may enter with future technology providers, they may be required to obtain or provide certain permits, licenses or other authorizations, provide certain fiscal indemnification to their technology providers and meet various other terms and conditions. If Innventure and the Innventure Companies fail to comply with the terms and conditions of the applicable MNC agreement, they may lose exclusivity or other rights or incur liabilities to their technology providers under the applicable MNC agreement. In that situation, the damages Innventure and the Innventure Companies would be subject to would be quantified either by the applicable courts or by third-party valuation firms. If one or more of these MNC agreements is terminated, Innventure’s ability to license other technologies from existing or future technology providers could be impeded and the underlying value of Innventure’s business could decline significantly.</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Our growth strategy depends on our ability to scale our Innventure Companies effectively, and we may be unable to do so successfully.</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long-term growth strategy contemplates expanding the operations and market share of our Innventure Companies. Successfully scaling multiple operating businesses simultaneously presents operational, managerial and financial challenges. We may not have sufficient resources, expertise or management bandwidth to support these expansion efforts effectively.</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our Innventure Companies grow, they may encounter issues such as long sales cycles, product development delays, capacity constraints, supply chain limitations, increased competition, pricing pressures, customer concentration risks and operational inefficiencies. They may also face difficulties recruiting, training and retaining qualified personnel necessary to support expansion, particularly in competitive labor markets.</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scaling our businesses may require significant capital expenditures or working capital investments, and we or our Innventure Companies may not be able to obtain financing on acceptable terms or at all. Our Innventure Companies are not currently profitable, and even if they succeed in increasing adoption of their products and services, market conditions—particularly related to supply and customer acquisition costs, including costs associated with tariffs—may prevent them from achieving or sustaining profitability. If demand does not increase as quickly as planned or costs increase more rapidly than expected, our cash flows could be adversely affected, and we may be required to make additional investments in the Innventure Companies that could adversely impact our own operations and growth plans. Integration of new facilities, systems or processes may also result in temporary disruptions to operations, reduced productivity or service delays.</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we are unable to scale our Innventure Companies in a disciplined and cost-effective manner, our growth prospects, competitive position, results of operations and financial condition could be materially adversely affected.</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The WTI Facility may impair Innventure LLC’s, the Company’s and the Innventure Companies’ financial and operating flexibility.</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WTI Facility imposes various representations, warranties, covenants and events of default on Innventure LLC, the Company and the Innventure Companies, including, without limitation, on their ability to incur indebtedness, grant liens, transfer assets, make investments, make dividends and other distributions and make certain payments of other indebtedness. Obligations under the WTI Facility are secured by a lien on substantially all of the assets of Innventure LLC and the Company. These restrictions could limit Innventure LLC’s, the Company’s and the Innventure Companies’ financial and operational flexibility and may require Innventure LLC, the Company and the Innventure Companies to seek consents from the WTI Lenders prior to taking certain actions. Such consents may not be provided by the WTI Lenders on a timely basis, or at all. </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120" w:after="120"/>
        <w:jc w:val="left"/>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restrictions imposed by the WTI Facility on Innventure LLC, the Company and the Innventure Companies may make it more difficult for them to operate their businesses or implement their growth plans going forward. Even if deemed necessary, we may not be able to raise additional indebtedness in the future on terms acceptable to us or at all because of the restrictions imposed by the WTI Facility. As a result, we would be more vulnerable to general adverse economic, industry and capital markets conditions in addition to the risks associated with indebtedness described above.</w:t>
      </w:r>
    </w:p>
    <w:p>
      <w:pPr>
        <w:pStyle w:val="TextBody"/>
        <w:bidi w:val="0"/>
        <w:spacing w:before="0" w:after="0"/>
        <w:ind w:left="0" w:right="0" w:firstLine="360"/>
        <w:jc w:val="both"/>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It is not possible to predict the extent to which Innventure will, intends to, or may rely on Yorkville and the SEPA as a source of funding or the actual number of shares Innventure will sell or gross proceeds resulting from those sales.</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Subject to the terms and conditions of the SEPA, Innventure may, at its discretion, issue and sell to Yorkville up to $75.0 million of shares of Common Stock from time to time. As of March 23, 2026, Innventure has drawn $2.67 million under the SEPA. The purchase price per share will fluctuate based on the market prices of Common Stock during the sales period, and Innventure has the discretion to deliver notices to Yorkville at any time throughout the term of the SEPA, subject to certain conditions and limitations in the SEPA and compliance with applicable law. Accordingly, it is not currently possible to predict the number of shares that will be issued and sold to Yorkville, the actual purchase price per share to be paid by Yorkville for those shares or the actual gross proceeds to be raised in connection with those sales. Actual gross proceeds may be less than $75.0 million, which may impact Innventure’s future liquidity.</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Moreover, although the SEPA provides that Innventure may sell up to an aggregate of $75.0 million of its Common Stock to Yorkville, Innventure registered the resale by Yorkville of up to 16,244,741 shares of Common Stock that may be issued subject to certain ownership limitations set forth in the SEPA. If Innventure elects to issue and sell to Yorkville all of the shares registered for resale, depending on the market prices of its Common Stock for each purchase made pursuant to the SEPA, the actual gross proceeds from the sale of those shares may be substantially less than the remaining approximately $66.6 million total commitment available under the SEPA. If (i) it becomes necessary for Innventure to issue and sell to Yorkville more shares than the shares registered for resale in order to receive aggregate gross proceeds equal to the remaining approximately $66.6 million under the SEPA and (ii) if Innventure is able to sell more shares than the shares registered for resale by Yorkville while still complying with the ownership limitations set forth in the SEPA, then Innventure will need to file with the SEC one or more additional registration statements to register under the Securities Act of 1933, as amended (the “Securities Act”) the resale by Yorkville of any such additional shares of Common Stock, and such registration statements would need to be declared effective by the SEC, in each case before Innventure may elect to sell any additional shares to Yorkville under the SEPA, a process which will take time and incur additional expense. Any issuance and sale by Innventure under the SEPA of a substantial amount of shares of Common Stock in addition to the shares already registered for resale by Yorkville could cause additional substantial dilution to Innventure’s stockholders. The number of shares of Common Stock ultimately offered for resale by Yorkville is dependent upon the number of shares, if any, Innventure ultimately sells to Yorkville under the SEPA.</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extent to which Innventure will rely on Yorkville as a source of funding will depend on a number of factors, including the prevailing market price of Common Stock and the extent to which Innventure is able to secure working and other capital from other sources. If obtaining sufficient funding from Yorkville were to prove unavailable or prohibitively dilutive, Innventure may need to secure additional sources of funding beyond its current expectations in order to satisfy its working and other capital needs. Even if Innventure were to sell to Yorkville all of the shares of Common Stock available for sale under the SEPA, Innventure may still need additional capital to fully implement its business, operating and development plans. Should the financing Innventure requires to sustain its working capital needs be unavailable or prohibitively expensive when Innventure requires it, the consequences may be a material adverse effect on Innventure’s business, operating results, financial condition and prospects.</w:t>
      </w:r>
    </w:p>
    <w:p>
      <w:pPr>
        <w:pStyle w:val="TextBody"/>
        <w:bidi w:val="0"/>
        <w:spacing w:before="0" w:after="0"/>
        <w:ind w:left="0" w:right="0" w:firstLine="36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It is not possible to predict the actual number of shares Innventure will sell under the SEPA to Yorkville, or the actual gross proceeds resulting from those sales.</w:t>
      </w:r>
    </w:p>
    <w:p>
      <w:pPr>
        <w:pStyle w:val="TextBody"/>
        <w:bidi w:val="0"/>
        <w:spacing w:before="0" w:after="0"/>
        <w:jc w:val="left"/>
        <w:rPr/>
      </w:pPr>
      <w:r>
        <w:rPr/>
      </w:r>
    </w:p>
    <w:p>
      <w:pPr>
        <w:pStyle w:val="TextBody"/>
        <w:bidi w:val="0"/>
        <w:spacing w:lineRule="auto" w:line="268" w:before="0" w:after="0"/>
        <w:ind w:left="0" w:right="0" w:firstLine="360"/>
        <w:jc w:val="both"/>
        <w:rPr/>
      </w:pPr>
      <w:r>
        <w:rPr>
          <w:rFonts w:ascii="Times New Roman;serif" w:hAnsi="Times New Roman;serif"/>
          <w:b w:val="false"/>
          <w:color w:val="000000"/>
          <w:sz w:val="20"/>
        </w:rPr>
        <w:t>Subject to certain conditions and limitations in the SEPA and compliance with applicable law, Innventure</w:t>
      </w:r>
      <w:r>
        <w:rPr>
          <w:color w:val="000000"/>
        </w:rPr>
        <w:t xml:space="preserve"> </w:t>
      </w:r>
      <w:r>
        <w:rPr>
          <w:rFonts w:ascii="Times New Roman;serif" w:hAnsi="Times New Roman;serif"/>
          <w:b w:val="false"/>
          <w:color w:val="000000"/>
          <w:sz w:val="20"/>
        </w:rPr>
        <w:t xml:space="preserve">has the discretion to deliver notices to Yorkville at any time throughout the term of the SEPA. The actual number of shares of Common Stock that are issued and sold to Yorkville depends on a number of factors, including the market price of Common Stock during the sales period. Actual gross proceeds may be less than $75.0 million, which may impact Innventure’s future liquidity. Because the price per share of each share sold to Yorkville will fluctuate during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120" w:after="12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sales period, it is not currently possible to predict the number of shares that will be sold or the actual gross proceeds to be raised in connection with those sales. </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March 23, 2026, Innventure has drawn $8.4 million under the SEPA. Moreover, although the SEPA provides that Innventure may sell up to an aggregate of $75.0 million of its Common Stock to Yorkville, Innventure registered the resale by Yorkville of up to 17,242,314 shares of Common Stock that may be issued without exceeding the 9.99% prong of the exchange cap set forth in the SEPA. If Innventure elects to issue and sell to Yorkville all of the shares registered for resale to Yorkville, depending on the market prices of its Common Stock for each purchase made pursuant to the SEPA, the actual gross proceeds from the sale of the shares may be substantially less than the $75.0 million total commitment available to Innventure under the SEPA. If it becomes (i) necessary for Innventure to issue and sell to Yorkville under the SEPA more shares than the shares registered for resale by Yorkville in order to receive the aggregate gross proceeds equal to $75.0 million under the SEPA and (ii) if Innventure is able to sell more shares than the shares registered for resale by Yorkville while still complying with the exchange cap, then Innventure will need to file with the SEC one or more additional registration statements to register under the Securities Act of 1933, as amended (the “Securities Act”) the resale by Yorkville of any such additional shares of Common Stock over the shares registered for resale by Yorkville and such registration statements would need to be declared effective by the SEC, in each case before Innventure may elect to sell any additional shares of Common Stock to Yorkville under the SEPA, a process which will take time and incur additional expense.</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Any issuance and sale by Innventure under the SEPA of a substantial amount of shares of Common Stock in addition to the shares already registered for resale by Yorkville could cause additional substantial dilution to Innventure’s stockholders. The number of shares of Common Stock ultimately offered for resale by Yorkville is dependent upon the number of shares of Common Stock, if any, Innventure ultimately sells to Yorkville under the SEPA.</w:t>
      </w:r>
    </w:p>
    <w:p>
      <w:pPr>
        <w:pStyle w:val="TextBody"/>
        <w:bidi w:val="0"/>
        <w:spacing w:before="0" w:after="0"/>
        <w:ind w:left="0" w:right="0" w:firstLine="360"/>
        <w:jc w:val="both"/>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Innventure’s success will depend on its ability to attract and retain personnel and manage human capital both for itself and the Innventure Companies, while controlling labor costs.</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Innventure’s future success depends on its ability to attract, recruit, train, retain, motivate and integrate key personnel for itself and the Innventure Companies, including its management team, key executives, and other key talent, and the management team and key R&amp;D, manufacturing, engineering and sales and marketing personnel for the Innventure Companies. Competition for qualified personnel is intense. The loss or incapacity of existing members of Innventure’s executive management team could adversely affect its operations if it experiences difficulties in hiring qualified successors. </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Innventure believes that its future viability and the future viability of the Innventure Companies will depend largely on their ability to attract and retain highly skilled managerial, sales, scientific and technical personnel. In order to do so, in the future it may need to pay higher compensation or fees to its employees or consultants than currently expected, and such higher compensation payments may have a negative effect on its operating results.</w:t>
      </w:r>
    </w:p>
    <w:p>
      <w:pPr>
        <w:pStyle w:val="TextBody"/>
        <w:bidi w:val="0"/>
        <w:spacing w:before="0" w:after="0"/>
        <w:ind w:left="0" w:right="0" w:firstLine="360"/>
        <w:jc w:val="both"/>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Innventure’s pursuit of new Innventure Companies and acquisitions of new technologies could disrupt its ongoing business, present risks not originally contemplated and materially adversely affect its business, reputation, results of operations and financial condition.</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Innventure’s growth strategy involves creating new Innventure Companies and acquiring new technologies. These new companies or future technology acquisitions could disrupt Innventure’s ongoing businesses, which may frustrate Innventure’s MNC partners, the existing Innventure Companies, and their customers, harming Innventure’s business relationships and causing a loss of revenue and business opportunities. Innventure’s ability to effectively manage the creation of new Innventure Companies and the resulting technology acquisitions and expansions of operations will also require it to enhance its operational, financial and management controls and infrastructure, human resources policies and reporting systems. These enhancements and improvements will require significant capital expenditures, investments in additional headcount and other operating expenditures and allocation of valuable management and employee resources, which may divert Innventure’s resources from its ongoing businesses. Innventure’s future financial performance and ability to execute on its business plan will depend, in part, on its ability to effectively manage any future Innventure Companies and technology acquisitions. There are no guarantees Innventure will be able to do so in an efficient or timely manner, or at all.</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120" w:after="12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Risks Related to the Innventure Companies’ Operations</w:t>
      </w:r>
    </w:p>
    <w:p>
      <w:pPr>
        <w:pStyle w:val="TextBody"/>
        <w:bidi w:val="0"/>
        <w:spacing w:before="0" w:after="0"/>
        <w:ind w:left="0" w:right="0" w:firstLine="36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The Innventure Companies are early-stage companies, and their limited operating history makes it difficult to evaluate their future prospects and the risks and challenges they may encounter.</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Innventure Companies are in the process of commercializing the technology solutions around which they are built, and their product offerings and partnering revenues are limited and remain in very early stages. Their limited operating history makes it difficult to evaluate the Innventure Companies’ future prospects and the risks and challenges they may encounter. Risks and challenges the Innventure Companies have faced or expect to face include, but are not limited to, their ability to:</w:t>
      </w:r>
    </w:p>
    <w:p>
      <w:pPr>
        <w:pStyle w:val="TextBody"/>
        <w:bidi w:val="0"/>
        <w:spacing w:before="0" w:after="0"/>
        <w:ind w:left="0" w:right="0" w:firstLine="36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develop and commercialize their products and processes;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design and deliver products and processes of acceptable performance that function as anticipated;</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generate material revenue sufficient to achieve and sustain profitability, accurately forecast revenue and effectively manage expenses;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attract new customers and commercial relationships;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compete successfully in the industry in which they operate;</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plan for and manage capital expenditures for their current and future products and manage their supply chain and supplier relationships related to their current and future products;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scale quickly enough due to capital and other resource constraints;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find, contract with, and retain reliable and commercially reasonable materials, components, manufacturers and inventory vendors;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comply with existing and new or modified laws and regulations applicable to their business in and outside the United States, including compliance requirements of U.S. customs and export regulations;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anticipate and respond to macroeconomic changes and changes in the markets in which they operate;</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anticipate and respond to regulatory and/or environmental policies that impact the Innventure Companies’ plant operations;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maintain and enhance the value of their reputation and brand;</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develop and protect IP;</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hire, integrate and retain talented people at all levels of their organizations;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successfully defend themselves in any legal proceeding that may arise and enforce their rights in any legal proceedings they may initiate; and</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manage and mitigate the adverse effects on their business of any public health emergencies, natural disasters, widespread travel disruptions, security risks including IT security, data privacy, cyber risks, international conflicts, geopolitical tension and other events beyond their control.</w:t>
      </w:r>
    </w:p>
    <w:p>
      <w:pPr>
        <w:pStyle w:val="TextBody"/>
        <w:bidi w:val="0"/>
        <w:spacing w:before="0" w:after="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If the Innventure Companies fail to address the risks and difficulties that they face, including those associated with the challenges listed above, their business, financial condition, results of operations, prospects and that of Innventure, could be adversely affected. Further, because the Innventure Companies have limited historical financial data and operate in a rapidly evolving and highly competitive market, any predictions about their future revenue and expenses may not be as accurate as they would be if the Innventure Companies had a longer operating history or operated in a more predictable market. The Innventure Companies have encountered in the past, and will encounter in the future, risks and uncertainties frequently experienced by growing companies with limited operating histories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120" w:after="12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rapidly changing industries. If the Innventure Companies’ assumptions regarding these risks and uncertainties, which they use to plan and operate their business, are incorrect or change, or if they do not address these risks successfully, their results of operations could differ materially from their expectations and their business, financial condition, results of operations and prospects could be adversely affected.</w:t>
      </w:r>
    </w:p>
    <w:p>
      <w:pPr>
        <w:pStyle w:val="TextBody"/>
        <w:bidi w:val="0"/>
        <w:spacing w:before="0" w:after="0"/>
        <w:ind w:left="0" w:right="0" w:firstLine="36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Failure of our Innventure Companies to achieve and maintain a high level of product and service quality and on-time delivery could damage their reputations with customers and negatively impact our results.</w:t>
      </w:r>
    </w:p>
    <w:p>
      <w:pPr>
        <w:pStyle w:val="TextBody"/>
        <w:bidi w:val="0"/>
        <w:spacing w:before="0" w:after="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Product and service quality issues could harm customer confidence in our Innventure Companies and their brands. If certain of our Innventure Company’s product and service offerings do not meet applicable safety standards or their customers’ expectations regarding quality, safety or performance, they could experience lost sales and increased costs, and we could be exposed to legal, financial and reputational risks. </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Innventure Companies cannot be certain that their quality controls and procedures will reveal defects in their products, which may not become apparent until after the products have been placed in use in the market. Accordingly, there is a risk that products will have defects, which could result in loss of sales or delays in market acceptance and require a product recall or field corrective action. Such remedial actions could be expensive to implement and may damage our Innventure Companies’ reputations, customer relationships and market shares. </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our Innventure Companies’ products fail to perform as expected, they could be exposed to liabilities such as warranty, product liability, personal injury and other claims. There can be no assurance that our Innventure Companies will not experience any material warranty or product liability claims in the future, that they will not incur significant costs to defend such claims or that they will have adequate resources to cover any recall, repair and replacement costs.</w:t>
      </w:r>
    </w:p>
    <w:p>
      <w:pPr>
        <w:pStyle w:val="TextBody"/>
        <w:bidi w:val="0"/>
        <w:spacing w:before="0" w:after="0"/>
        <w:ind w:left="0" w:right="0" w:firstLine="36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Accelsius’ cooling products may be subject to increased regulatory scrutiny due to their use of working fluid refrigerants that contain fluorine.</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market and/or regulatory agencies inside and outside the United States may elect to curtail the use of polyfluoroalkyl substances, including hydrofluoroolefins and hydrochlorofluoroolefins, due to their persistence in the environment, their global warming potential, or their ozone depletion potential. While Accelsius believes it follows industry best practices in respect of its use of these commonly available refrigerants as working fluids in Accelsius’ cooling products, unforeseen regulatory changes that limit availability or manufacturing capacity or increase material prices would adversely affect Accelsius business.</w:t>
      </w:r>
    </w:p>
    <w:p>
      <w:pPr>
        <w:pStyle w:val="TextBody"/>
        <w:bidi w:val="0"/>
        <w:spacing w:before="0" w:after="0"/>
        <w:ind w:left="0" w:right="0" w:firstLine="36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Accelsius may need to rely on third-party manufacturers to fulfill significant customer orders that it may book in the future, which could adversely affect its margins, quality control, and ability to meet delivery timelines.</w:t>
      </w:r>
    </w:p>
    <w:p>
      <w:pPr>
        <w:pStyle w:val="TextBody"/>
        <w:bidi w:val="0"/>
        <w:spacing w:before="0" w:after="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Because Accelsius’ existing manufacturing capacity is limited, it plans to rely on relationships with one or more third party manufacturers as it scales its operations. Reliance on third-party manufacturers could subject Accelsius to a number of risks, including reduced control over production processes, quality assurance, regulatory compliance, intellectual property protection, and delivery schedules. Third-party manufacturers may experience capacity constraints, labor shortages, supply chain disruptions, financial instability, or operational failures that could delay production or increase costs. Any inability to timely fulfill customer orders, maintain product quality standards, or manage costs effectively could result in customer dissatisfaction, order cancellations, reputational harm, loss of future business, or potential claims against us. If Accelsius is unable to successfully scale its manufacturing capabilities through third parties when needed, our growth prospects, operating results, and financial condition could be materially adversely affected.</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Accelsius’ results of operations may be adversely affected by long and unpredictable deployment cycles in the data center market, which could delay or reduce the conversion of bookings into revenue.</w:t>
      </w:r>
    </w:p>
    <w:p>
      <w:pPr>
        <w:pStyle w:val="TextBody"/>
        <w:bidi w:val="0"/>
        <w:spacing w:before="0" w:after="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Accelsius provides products that are incorporated into the design, construction and expansion of data centers. The development of new data centers and the retrofitting or expansion of existing facilities are highly complex, capital-intensive and multi-phase projects that typically involve extensive planning, engineering, permitting, procurement and construction processes. As a result, there could be significant delays between the time Accelsius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120" w:after="12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receives bookings or enters into customer agreements and the time its products are delivered, installed, accepted and recognized as revenue.</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Accelsius’ customers’ data center projects are subject to numerous risks and uncertainties beyond its control and large data center customers frequently adjust project timelines, reduce or reallocate capital expenditures, or pause or cancel projects altogether in response to changes in business priorities, market conditions or technological developments. Any such delays, modifications or cancellations may postpone, reduce or eliminate anticipated revenue associated with existing bookings.</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Because Accelsius may incur significant manufacturing, procurement or operating expenses in advance of revenue recognition, extended deployment cycles can adversely affect its working capital requirements, cash flows and operating margins. Moreover, its backlog or bookings may not be indicative of future revenue or financial performance if projects are delayed or cancelled. If Accelsius is unable to accurately forecast the timing of customer deployments or effectively manage its cost structure in light of these long and uncertain cycles, our results of operations and financial condition could be materially adversely affected.</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Accelsius may not realize all of the sales expected from its backlog of orders and contracts.</w:t>
      </w:r>
    </w:p>
    <w:p>
      <w:pPr>
        <w:pStyle w:val="TextBody"/>
        <w:bidi w:val="0"/>
        <w:spacing w:before="0" w:after="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Accelsius may enter into purchase orders or contracts for orders that provide customers the right, in some circumstances, to terminate, reduce or defer orders. If customers terminate, reduce or defer orders, the revenue Accelsius expects to generate from its backlog may not be fully realized.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Accelsius’ purchase orders to date have been received from a limited number of customers, and this customer concentration could materially adversely affect our business.</w:t>
      </w:r>
    </w:p>
    <w:p>
      <w:pPr>
        <w:pStyle w:val="TextBody"/>
        <w:bidi w:val="0"/>
        <w:spacing w:before="0" w:after="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Accelsius is an early-stage company and has not yet generated significant revenue. To date, substantially all of its purchase orders have been received from a limited number of customers. Until Accelsius is able to broaden its customer base and generate meaningful recurring revenue, its business will remain particularly vulnerable to risks associated with customer concentration, and our results of operations and financial condition could be materially adversely affected.</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If Accelsius is unable to develop and commercialize next-generation cooling solutions capable of addressing increasing chip power densities and thermal loads, our business and competitive position could be materially adversely affected.</w:t>
      </w:r>
    </w:p>
    <w:p>
      <w:pPr>
        <w:pStyle w:val="TextBody"/>
        <w:bidi w:val="0"/>
        <w:spacing w:before="0" w:after="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processors deployed in modern data centers are becoming increasingly powerful and thermally dense, driven in part by advances in artificial intelligence, high-performance computing and other compute-intensive applications. As chip architectures evolve, power consumption per rack and per chip continues to increase, and thermal design requirements are becoming more complex. Accelsius’ future growth depends on our ability to anticipate these technology trends and to design, test and commercialize cooling solutions that can effectively manage higher heat flux, tighter temperature tolerances and changing form factors.</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Developing advanced cooling technologies requires significant research and development investment, specialized engineering expertise and close coordination with semiconductor manufacturers, original equipment manufacturers and data center operators. There can be no assurance that Accelsius’ current or future products will be capable of meeting emerging performance requirements, reliability standards, energy efficiency targets or total cost of ownership expectations. </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Accelsius is unable to innovate at a pace consistent with advances in chip performance, or if its solutions fail to achieve market acceptance due to performance limitations, cost considerations or operational complexity, customers may adopt alternative cooling technologies offered by competitors or developed in-house. Any failure to develop and commercialize effective next-generation cooling products on a timely basis could result in loss of market share, reduced revenue growth and a material adverse effect on our business, results of operations and financial condition.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120" w:after="120"/>
        <w:jc w:val="left"/>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The market, including customers and potential investors, may be skeptical of the viability and benefits of Accelsius’ and Refinity’s products and processes because they are based on relatively novel and complex technology.</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market, including customers and potential investors, may be skeptical of the viability and benefits of Accelsius’ and Refinity’s products and processes because they are based on relatively novel and complex technology. There can be no assurance that Accelsius’ and Refinity’s products and processes will be understood, approved, or accepted by customers and potential investors or that Accelsius or Refinity will be able to sell its products profitably at competitive prices and with features sufficient to establish demand or to design and build a plastic waste to drop-in chemicals plant on budget or profitably operate such a plant, respectively. If Accelsius and Refinity are unable to convince these potential customers of the utility and value of their products and processes or that their solutions are superior to those they currently use, they will not be successful in entering those markets and their business and results of operations will be adversely affected. If potential investors are skeptical of the success of Accelsius’ and Refinity’s products and processes, their ability to raise capital and the value of Innventure stock may be adversely affected.</w:t>
      </w:r>
    </w:p>
    <w:p>
      <w:pPr>
        <w:pStyle w:val="TextBody"/>
        <w:bidi w:val="0"/>
        <w:spacing w:before="0" w:after="0"/>
        <w:ind w:left="0" w:right="0" w:firstLine="36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The failure of Accelsius and AFX to access necessary raw materials or other components in a timely manner and to specification or their inability to maintain relationships with suppliers and manufacturing partners could prevent them from delivering products within required time frames and could cause production delays, cancellations, penalty payments and damage to their brands and reputations.</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If Accelsius’ suppliers provide insufficient inventory to meet customer demand or such inventory is not at the level of quality required to meet its standards, Accelsius’ results of operations could be materially and negatively impacted. If Accelsius fails to develop or maintain its relationships with suppliers, or if there is otherwise a shortage or lack of availability of any required raw materials or components, Accelsius may be unable to manufacture its products or those products may be available only at a higher cost or after a long delay. Accelsius’ inability to maintain relationships with manufacturing partners could further compound these risks. Significant delays and shortages could prevent Accelsius from delivering its products to its customers within required time frames and cause order cancellations, which would adversely impact its cash flows and results of operations. </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AFX faces similar supply chain risks and is early in the development of its commercial production capacity and has not yet fully diversified suppliers for critical raw materials, specifically its film. Thus far, AFX has qualified one incumbent raw material film supplier—a large, foreign third-party supplier with over 22,000 employees and operations in approximately 100 countries—and is working to finalize a raw materials agreement with the same. Currently, AFX relies on individual purchase orders to purchase the film produced by the supplier. AFX is in the process of qualifying two additional raw material film suppliers, both similarly large foreign third-party suppliers with large global footprints. AFX intends to continue to work towards further diversifying its supplier base as product demand grows and multiple suppliers are needed to support business continuity, though there is no guaranty that such diversification will be successful. Because AFX currently has no alternative sources of supply, any failure by its suppliers to provide sufficient inventory at required quality standards could materially and negatively impact AFX’s results of operations. </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Due to increased demand across a range of industries, the global supply chain for certain raw materials and components has experienced significant strain. The global macroeconomic environment and geopolitical instability, such as the instability and hostilities in the Middle East, including the conflict with Iran, as well as the impact of tariffs, have also contributed to and exacerbated this strain. There can be no assurance that the impact of these issues on the supply chain will not continue, or worsen, in the future. Significant delays and shortages could prevent AFX from delivering its products to its customers within required time frames and cause order cancellations, which would adversely impact its cash flows and results of operations.</w:t>
      </w:r>
    </w:p>
    <w:p>
      <w:pPr>
        <w:pStyle w:val="TextBody"/>
        <w:bidi w:val="0"/>
        <w:spacing w:before="0" w:after="0"/>
        <w:ind w:left="0" w:right="0" w:firstLine="36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AFX may not be able to meet applicable regulatory requirements for the use of AFX’s products in food grade applications, and, even if the requirements are met, complying on an ongoing basis with the numerous regulatory requirements applicable to AFX’s products and AFX’s facilities will be time-consuming and costly.</w:t>
      </w:r>
    </w:p>
    <w:p>
      <w:pPr>
        <w:pStyle w:val="TextBody"/>
        <w:bidi w:val="0"/>
        <w:spacing w:before="0" w:after="0"/>
        <w:jc w:val="left"/>
        <w:rPr/>
      </w:pPr>
      <w:r>
        <w:rPr/>
      </w:r>
    </w:p>
    <w:p>
      <w:pPr>
        <w:pStyle w:val="TextBody"/>
        <w:bidi w:val="0"/>
        <w:spacing w:lineRule="auto" w:line="268" w:before="0" w:after="0"/>
        <w:ind w:left="0" w:right="0" w:firstLine="360"/>
        <w:jc w:val="both"/>
        <w:rPr/>
      </w:pPr>
      <w:r>
        <w:rPr>
          <w:rFonts w:ascii="Times New Roman;serif" w:hAnsi="Times New Roman;serif"/>
          <w:b w:val="false"/>
          <w:color w:val="000000"/>
          <w:sz w:val="20"/>
        </w:rPr>
        <w:t>The use of AFX’s products in food grade applications is subject to regulation by the U.S. Food and Drug Administration (“FDA”). The FDA has established certain guidelines for the use of recycled plastics in food packaging, as set forth in the “</w:t>
      </w:r>
      <w:r>
        <w:rPr>
          <w:rFonts w:ascii="Times New Roman;serif" w:hAnsi="Times New Roman;serif"/>
          <w:b w:val="false"/>
          <w:i/>
          <w:color w:val="000000"/>
          <w:sz w:val="20"/>
        </w:rPr>
        <w:t xml:space="preserve">Guidance for Industry - Use of Recycled Plastics in Food Packaging: Chemistry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120" w:after="120"/>
        <w:jc w:val="left"/>
        <w:rPr/>
      </w:pPr>
      <w:r>
        <w:rPr/>
      </w:r>
    </w:p>
    <w:p>
      <w:pPr>
        <w:pStyle w:val="TextBody"/>
        <w:bidi w:val="0"/>
        <w:spacing w:lineRule="auto" w:line="268" w:before="0" w:after="0"/>
        <w:jc w:val="both"/>
        <w:rPr/>
      </w:pPr>
      <w:r>
        <w:rPr>
          <w:rFonts w:ascii="Times New Roman;serif" w:hAnsi="Times New Roman;serif"/>
          <w:b w:val="false"/>
          <w:i/>
          <w:color w:val="000000"/>
          <w:sz w:val="20"/>
        </w:rPr>
        <w:t>Considerations (August 2006)</w:t>
      </w:r>
      <w:r>
        <w:rPr>
          <w:rFonts w:ascii="Times New Roman;serif" w:hAnsi="Times New Roman;serif"/>
          <w:b w:val="false"/>
          <w:color w:val="000000"/>
          <w:sz w:val="20"/>
        </w:rPr>
        <w:t>.” In order for AFX’s products to be used in food grade applications, AFX will be required to partner with customers or third-party co-manufacturers that possess the required food certifications to do the filling of AFX’s package.</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process of obtaining FDA regulatory approval requires the expenditure of substantial time, of up to one year, and significant financial resources. If AFX decides to partner with qualified customers or third-party co-manufacturers to fill AFX’s package, the search for and negotiations required for such relationships would require significant time, effort, and financial resources to complete, and may not result in a successful production relationship. All of the above would have an adverse effect on AFX’s business, financial condition, results of operations and prospects.</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Furthermore, changes in regulatory requirements, laws and policies, or evolving interpretations of existing regulatory requirements, laws and policies, may result in increased compliance costs, delays, capital expenditures and other financial obligations that could adversely affect AFX’s business, financial condition, results of operations and prospects.</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AFX expects to encounter regulations in most if not all of the countries in which AFX may seek to expand, and AFX cannot be sure that it will be able to obtain necessary approvals in a timely manner or at all. If AFX’s products do not meet applicable regulatory requirements in a particular country or at all, then AFX may face reduced market demand in those countries and AFX’s business, financial condition, results of operations and prospects will be adversely affected.</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various regulatory schemes applicable to AFX’s products will continue to apply following initial approval. Monitoring regulatory changes and our ongoing compliance with applicable requirements is time-consuming and may affect AFX’s business, financial condition, results of operation and prospects. If AFX fails to comply with such requirements on an ongoing basis, AFX may be subject to fines or other penalties, or may be prevented from selling its products, and AFX’s business, financial condition, results of operation and prospects may be harmed.</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Refinity faces risks in designing, constructing and operating its first commercial-scale manufacturing facility, and it may be unable to successfully or timely complete and bring the facility online.</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Refinity intends to design, construct and operate its first commercial-scale manufacturing facility to produce products based on its novel technology. The development of a unique manufacturing facility involves substantial technical, operational, financial and regulatory risks. Refinity has limited experience constructing and operating a facility of this scale and complexity, and its product has not previously been manufactured at commercial volumes. As a result, Refinity may encounter unanticipated design, engineering, construction, commissioning and scale-up challenges.</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construction and launch of the facility will require significant capital expenditures and management attention. Refinity may experience delays due to permitting requirements, zoning approvals, environmental and safety reviews, supply chain disruptions, contractor performance issues, labor shortages, equipment procurement delays, adverse weather conditions, or other factors beyond Refinity’s control. Any delays in completing construction or commencing commercial production could postpone anticipated revenues, increase costs, and adversely affect our liquidity and financial condition.</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scaling Refinity’s technology from pilot production to full commercial manufacturing may reveal inefficiencies, yield losses, quality control issues, equipment failures, or other operational challenges that were not apparent at smaller scales. Refinity may be required to modify its processes, incur additional capital expenditures, or suspend operations to address such issues. There can be no assurance that Refinity will achieve expected production volumes, cost efficiencies, product performance standards or gross margins.</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Refinity is unable to successfully finance, construct, scale and operate this manufacturing facility on a timely and cost-effective basis, its growth strategy, competitive position, results of operations and financial condition could be materially adversely affected.</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120" w:after="12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Risks Related to Our Common Stock</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The market price of our Common Stock is likely to be highly volatile, and you may lose some or all of your investment.</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pPr>
      <w:r>
        <w:rPr>
          <w:rFonts w:ascii="Times New Roman;serif" w:hAnsi="Times New Roman;serif"/>
          <w:b w:val="false"/>
          <w:color w:val="000000"/>
          <w:sz w:val="20"/>
        </w:rPr>
        <w:t>The market price of our Common Stock may fluctuate significantly due to a number of factors, some of which may be beyond our control, including those factors discussed in this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section and many others, such as:</w:t>
      </w:r>
    </w:p>
    <w:p>
      <w:pPr>
        <w:pStyle w:val="TextBody"/>
        <w:bidi w:val="0"/>
        <w:spacing w:before="0" w:after="0"/>
        <w:ind w:left="0" w:right="0" w:firstLine="36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dilution resulting from the sales of the Common Stock or preferred stock by Innventure;</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actual or anticipated fluctuations in Innventure’s financial condition and operating results, including fluctuations in its quarterly and annual results;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changes in laws and regulations affecting Innventure’s business;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public’s reaction to Innventure’s press releases, its other public announcements and its filings with the SEC;</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Innventure’s failure to meet the estimates and projections of the investment community or that it may otherwise provide to the public;</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overall performance of the equity markets;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trading volume of the Common Stock;</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significant lawsuits, including shareholder litigation;</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failure to comply with the requirements of the Nasdaq Global Market (“Nasdaq”);</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general economic, industry and market conditions other events or factors, many of which are beyond Innventure’s control; and</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changes in accounting standards, policies, guidelines, interpretations or principles.</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Volatility in Innventure’s share price could subject Innventure to securities class action litigation.</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past, securities class action litigation has often been brought against a company following a decline in the market price of its securities. If Innventure faces such litigation, it could result in substantial costs and a diversion of management’s attention and resources, which could harm its business.</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Future offerings of debt or offerings or issuances of equity securities by Innventure may adversely affect the market price of the Common Stock or otherwise dilute all other stockholders and may result in the issuance of securities with rights that are senior to those of the holders of Common Stock.</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Innventure expects to raise additional capital in the future. Innventure may attempt to obtain financing or to further increase Innventure’s capital resources by issuing additional shares of Common Stock or offering debt or other equity securities, including commercial paper, medium-term notes, senior or subordinated notes, debt securities convertible into equity or shares of preferred stock. Innventure also expects to grant new equity awards to employees, directors, and consultants under Innventure’s stock incentive plans. Future acquisitions could require substantial additional capital in excess of cash from operations. Innventure would expect to obtain the capital required for acquisitions through a combination of additional issuances of equity, corporate indebtedness and/or cash from operations.</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Issuing additional shares of Common Stock or other equity securities or securities convertible into equity may dilute the economic and voting rights of Innventure’s existing stockholders or reduce the market price of the Common Stock or both. Upon liquidation, holders of such debt securities, preferred shares, and lenders with respect to other borrowings would receive a distribution of Innventure’s available assets prior to the holders of Common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120" w:after="12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Stock. Debt securities convertible into equity could be subject to adjustments in the conversion ratio pursuant to which certain events may increase the number of equity securities issuable upon conversion. Preferred shares, if issued, could have a preference with respect to liquidating distributions or a preference with respect to dividend payments that could limit Innventure’s ability to pay dividends to the holders of Common Stock. Innventure’s decision to issue securities in any future offering will depend on market conditions and other factors beyond Innventure’s control, which may adversely affect the amount, timing and nature of Innventure’s future offerings.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 xml:space="preserve">Additional financing transactions by the Innventure Companies could impact your rights as a stockholder of Innventure. </w:t>
      </w:r>
    </w:p>
    <w:p>
      <w:pPr>
        <w:pStyle w:val="TextBody"/>
        <w:bidi w:val="0"/>
        <w:spacing w:before="0" w:after="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Innventure and the Innventure Companies expect to require additional financing to fund their operations or growth. These additional financing transactions could include transactions at the Innventure Company level, such as Innventure’s sale of Innventure Company equity, or the Innventure Companies’ issuance of new equity. The issuance of new equity securities to third-party investors at the Innventure Company level or the sale of a portion of Innventure Company equity held by Innventure would reduce Innventure’s ownership interest in that Innventure Company. Furthermore, the holders of those equity securities could have structural priority as compared to Common Stock with respect to that Innventure Companies’ assets and could also have priority as to liquidation and dividend and other rights more favorable than Common Stock with respect to that Innventure Company. This priority, or any reduction in Innventure’s ownership interest in any Innventure Companies, may reduce the value of Common Stock and could impact the Company’s ability to refrain from being deemed an investment company under the Investment Company Act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Stockholder activism or unsolicited acquisition proposals could disrupt our business, divert management’s attention and impede our ability to execute our business model and achieve our long-term strategic objectives.</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and may from time to time become, subject to stockholder activism, unsolicited acquisition proposals or other attempts to effect changes in our strategic direction, capital allocation priorities, governance structure, management or board composition. Responding to such actions can be costly and time-consuming and may significantly divert the attention and resources of our Board and management from the execution of our business model and long-term strategic initiatives.</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Stockholder activism campaigns or unsolicited bids may create uncertainty among our employees, customers, suppliers and other business partners. This uncertainty could adversely affect our ability to retain and recruit key personnel, maintain commercial relationships (including with MNCs and Technology Solutions Providers), negotiate contracts, pursue strategic transactions or execute operational initiatives. Public disputes with activist investors or bidders may also result in reputational harm and increased market volatility in our stock price.</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addressing activist demands or evaluating unsolicited acquisition proposals may require us to incur substantial advisory, legal and other expenses, including proxy solicitation and public relations costs. If a proxy contest or other contested matter arises, we may experience further distraction and expense. Even if unsuccessful, such actions may lead to changes in strategy or governance that are not aligned with our long-term business plan.</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an unsolicited acquisition proposal were to result in a transaction, we may not realize the long-term value of our strategic plan as a standalone company. Alternatively, the perception that we are “in play” may cause stock price volatility and could impair our ability to access capital markets or enter into long-term commercial arrangements. Any of these factors could materially adversely affect our ability to execute our business model, achieve our long-term goals and deliver value to our stockholders.</w:t>
      </w:r>
    </w:p>
    <w:p>
      <w:pPr>
        <w:pStyle w:val="TextBody"/>
        <w:bidi w:val="0"/>
        <w:spacing w:before="0" w:after="0"/>
        <w:ind w:left="0" w:right="0" w:firstLine="360"/>
        <w:jc w:val="both"/>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The market may not fully understand or accept our conglomerate structure and the value of our Innventure Companies, which could cause our common stock to trade at a discount to our net asset value.</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operate as a diversified conglomerate that operates a group of operating businesses across multiple industries. Investors may have difficulty independently assessing the underlying value of our Innventure Companies and our enterprise as a whole. Investors may apply a “conglomerate discount” to our stock price due to perceived complexity of our model, valuation uncertainty, limited liquidity at the subsidiary level, or concerns regarding realization of value. </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120" w:after="120"/>
        <w:jc w:val="left"/>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the market does not fully understand or accept our business model or capital allocation strategy, our common stock may trade at a sustained or significant discount. A sustained discount could impair our ability to raise equity capital on attractive terms, limit our strategic flexibility, reduce the effectiveness of our equity as acquisition currency and increase pressure from stockholders to pursue strategic alternatives transactions such as spin-offs, asset sales, restructurings, or a sale of the company. Such actions, if undertaken, may divert management’s attention, increase costs and may not be aligned with our long-term strategic objectives.</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can be no assurance that our efforts to demonstrate the intrinsic value of our Innventure Companies will be successful. If our common stock continues to trade at a material discount, our ability to execute our long-term strategy and maximize stockholder value could be materially adversely affected.</w:t>
      </w:r>
    </w:p>
    <w:p>
      <w:pPr>
        <w:pStyle w:val="TextBody"/>
        <w:bidi w:val="0"/>
        <w:spacing w:before="0" w:after="0"/>
        <w:ind w:left="0" w:right="0" w:firstLine="360"/>
        <w:jc w:val="both"/>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Provisions in the A&amp;R Certificate of Incorporation and under Delaware law could discourage a takeover that stockholders may consider favorable and may lead to entrenchment of management.</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A&amp;R Certificate of Incorporation and our By-laws (as amended and restated, the “Bylaws”) contain provisions that could significantly reduce the value of the Common Stock to a potential acquirer or delay or prevent changes in control or changes in our management without the consent of the Board. The provisions in Innventure’s charter documents include the following:</w:t>
      </w:r>
    </w:p>
    <w:p>
      <w:pPr>
        <w:pStyle w:val="TextBody"/>
        <w:bidi w:val="0"/>
        <w:spacing w:before="0" w:after="0"/>
        <w:ind w:left="0" w:right="0" w:firstLine="36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a classified board of directors with three-year staggered terms, which may delay the ability of stockholders to change the membership of a majority of the Board;</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no cumulative voting in the election of directors, which limits the ability of minority stockholders to elect director candidates;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exclusive right of the Board, unless the Board grants such a right to the holders of any series of preferred stock, to elect a director to fill a vacancy created by the expansion of the Board or the resignation, death or removal of a director, which prevents stockholders from being able to fill vacancies on our Board;</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prohibition on removal of directors without cause;</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ability of the Board to authorize the issuance of shares of preferred stock and to determine the price and other terms of those shares, including preferences and voting rights, without stockholder approval, which could be used to significantly dilute the ownership of a hostile acquirer;</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ability of the Board to alter the Bylaws without obtaining stockholder approval;</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required approval of at least 2/3 of the shares entitled to vote to amend or repeal the Bylaws or amend, alter or repeal certain provisions of the A&amp;R Certificate of Incorporation;</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a prohibition on stockholder action by written consent, which forces stockholder action to be taken at an annual or special meeting of Innventure’s stockholders;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an exclusive forum provision providing that the Court of Chancery of the State of Delaware (the “Delaware Court”) will be the exclusive forum for certain actions and proceedings;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requirement that a special meeting of stockholders may be called only by the Board, Innventure’s chief executive officer, or the chairman of the Board, which may delay the ability of our stockholders to force consideration of a proposal or to take action, including the removal of directors;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advance notice procedures that stockholders must comply with in order to nominate candidates to the Board or to propose matters to be acted upon at a stockholders’ meeting, which may discourage or deter a potential acquirer from conducting a solicitation of proxies to elect the acquirer’s own slate of directors or otherwise attempting to obtain control of Innventure; and</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Innventure is subject to the anti-takeover provisions contained in Section 203 of the Delaware General Corporation Law, which will prevent Innventure from engaging in a business combination with any holder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120" w:after="12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of 15% or more of its capital stock unless the holder has held the stock for three years or, among other exceptions, the Board has approved the transaction.</w:t>
      </w:r>
    </w:p>
    <w:p>
      <w:pPr>
        <w:pStyle w:val="TextBody"/>
        <w:bidi w:val="0"/>
        <w:spacing w:before="0" w:after="0"/>
        <w:ind w:left="0" w:right="0" w:firstLine="36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If Innventure’s estimates or judgments relating to its critical accounting estimates prove to be incorrect or financial reporting standards or interpretations change, Innventure’s results of operations could be adversely affected.</w:t>
      </w:r>
    </w:p>
    <w:p>
      <w:pPr>
        <w:pStyle w:val="TextBody"/>
        <w:bidi w:val="0"/>
        <w:spacing w:before="0" w:after="0"/>
        <w:jc w:val="left"/>
        <w:rPr/>
      </w:pPr>
      <w:r>
        <w:rPr/>
      </w:r>
    </w:p>
    <w:p>
      <w:pPr>
        <w:pStyle w:val="TextBody"/>
        <w:bidi w:val="0"/>
        <w:spacing w:lineRule="auto" w:line="268" w:before="0" w:after="0"/>
        <w:ind w:left="0" w:right="0" w:firstLine="360"/>
        <w:jc w:val="both"/>
        <w:rPr/>
      </w:pPr>
      <w:r>
        <w:rPr>
          <w:rFonts w:ascii="Times New Roman;serif" w:hAnsi="Times New Roman;serif"/>
          <w:b w:val="false"/>
          <w:color w:val="000000"/>
          <w:sz w:val="20"/>
        </w:rPr>
        <w:t>The preparation of financial statements in conformity with Generally Accepted Accounting Principles (“GAAP”) in the United States requires management to make estimates and assumptions that affect the amounts reported in the financial statements and accompanying notes. Innventure will base its estimates on historical experience, known trends and events, and various other factors that it believes to be reasonable under the circumstances, as provided in the section entitled “</w:t>
      </w:r>
      <w:r>
        <w:rPr>
          <w:rFonts w:ascii="Times New Roman;serif" w:hAnsi="Times New Roman;serif"/>
          <w:b w:val="false"/>
          <w:i/>
          <w:color w:val="000000"/>
          <w:sz w:val="20"/>
        </w:rPr>
        <w:t>Management’s Discussion and Analysis of Financial Condition and Results of Operations—Critical Accounting Policies and Use of Estimates</w:t>
      </w:r>
      <w:r>
        <w:rPr>
          <w:rFonts w:ascii="Times New Roman;serif" w:hAnsi="Times New Roman;serif"/>
          <w:b w:val="false"/>
          <w:color w:val="000000"/>
          <w:sz w:val="20"/>
        </w:rPr>
        <w:t>.” The results of these estimates form the basis for making judgments about the carrying values of assets and liabilities that are not readily apparent from other sources. Significant assumptions and estimates may be used in preparing Innventure’s financial statements. Innventure’s results of operations may be adversely affected if its assumptions change or if actual circumstances differ from those in its assumptions, which could cause its results of operations to fall below the expectations of securities analysts and investors, resulting in a decline in the trading price of its Common Stock.</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Innventure will regularly monitor its compliance with applicable financial reporting standards and review new pronouncements and drafts thereof that are relevant to it. As a result of new standards, changes to existing standards and changes in their interpretation, Innventure might be required to change its accounting policies, alter its operational policies, and implement new or enhance existing systems so that they reflect new or amended financial reporting standards, or Innventure may be required to restate its published financial statements. Such changes to existing standards or changes in their interpretation may have an adverse effect on its reputation, business, financial position, and profit.</w:t>
      </w:r>
    </w:p>
    <w:p>
      <w:pPr>
        <w:pStyle w:val="TextBody"/>
        <w:bidi w:val="0"/>
        <w:spacing w:before="0" w:after="0"/>
        <w:ind w:left="0" w:right="0" w:firstLine="360"/>
        <w:jc w:val="both"/>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The exclusive forum provision in the A&amp;R Certificate of Incorporation could limit Innventure’s stockholders’ ability to choose their preferred judicial forum for disputes with Innventure or its directors, officers, or employees.</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A&amp;R Certificate of Incorporation provides that, unless Innventure consents in writing to the selection of an alternative forum, the sole and exclusive forum for specified legal actions is the Delaware Court. Current and former stockholders are deemed to have consented to the personal jurisdiction of the Delaware Court in connection with any action to enforce that exclusive forum provision and to service of process in any such action. The exclusive forum provision of the A&amp;R Certificate of Incorporation does not apply to actions arising under federal securities laws including suits brought to enforce any liability or duty created by the Securities Act, the Exchange Act or any other claim for which the federal courts have exclusive jurisdiction. To the extent that this provision of the A&amp;R Certificate of Incorporation limits a current or former stockholder’s ability to select a judicial forum other than the Delaware Court, it might discourage the specified legal actions, might cause current or former stockholders to incur additional litigation-related expenses, and might result in outcomes unfavorable to current or former stockholders. A court might determine that this provision of the A&amp;R Certificate of Incorporation is inapplicable or unenforceable in any particular action, in which case we may incur additional litigation related expenses in such action, and the action may result in outcomes unfavorable to us, which could have a materially adverse impact on Innventure’s reputation, its business operations, and its financial position or results of operations.</w:t>
      </w:r>
    </w:p>
    <w:p>
      <w:pPr>
        <w:pStyle w:val="TextBody"/>
        <w:bidi w:val="0"/>
        <w:spacing w:before="0" w:after="0"/>
        <w:ind w:left="0" w:right="0" w:firstLine="360"/>
        <w:jc w:val="both"/>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If Innventure is deemed to be an investment company under the Investment Company Act, it may be required to institute burdensome compliance requirements and its activities may be restricted, which may make it difficult to operate or to execute its growth plans.</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Innventure is deemed to be an investment company under the Investment Company Act, it will be subject to additional regulatory requirements and its activities may be restricted, including:</w:t>
      </w:r>
    </w:p>
    <w:p>
      <w:pPr>
        <w:pStyle w:val="TextBody"/>
        <w:bidi w:val="0"/>
        <w:spacing w:before="0" w:after="0"/>
        <w:ind w:left="0" w:right="0" w:firstLine="36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restrictions on the nature of its investments;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limitations on its ability to borrow;</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prohibitions on transactions with affiliates;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120" w:after="120"/>
        <w:jc w:val="left"/>
        <w:rPr/>
      </w:pPr>
      <w:r>
        <w:rPr/>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restrictions on the issuance of securities.</w:t>
      </w:r>
    </w:p>
    <w:p>
      <w:pPr>
        <w:pStyle w:val="TextBody"/>
        <w:bidi w:val="0"/>
        <w:spacing w:before="0" w:after="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Each of these may make it difficult for Innventure to run its business. In addition, the law may impose upon Innventure burdensome requirements, including:</w:t>
      </w:r>
    </w:p>
    <w:p>
      <w:pPr>
        <w:pStyle w:val="TextBody"/>
        <w:bidi w:val="0"/>
        <w:spacing w:before="0" w:after="0"/>
        <w:ind w:left="0" w:right="0" w:firstLine="36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registration as an investment company and subsequent regulation as an investment company;</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adoption of a specific form of corporate structure; and</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reporting, record keeping, voting, proxy and disclosure requirements and other rules and regulations.</w:t>
      </w:r>
    </w:p>
    <w:p>
      <w:pPr>
        <w:pStyle w:val="TextBody"/>
        <w:bidi w:val="0"/>
        <w:spacing w:before="0" w:after="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Innventure intends to conduct its operations so that it is not required to register as an investment company under the Investment Company Act. Section 3(a)(1)(A) of the Investment Company Act defines an “investment company” as any issuer that is or holds itself out as being engaged primarily, or proposes to engage primarily, in the business of investing, reinvesting or trading in securities. Section 3(a)(1)(C) of the Investment Company Act defines an investment company as any issuer that is engaged or proposes to engage in the business of investing, reinvesting, owning, holding or trading in securities and owns or proposes to acquire investment securities having a value exceeding 40% of the value of the issuer’s total assets (exclusive of U.S. Government securities and cash items) on an unconsolidated basis. Excluded from the term “investment securities,” among other things, are U.S. Government securities and securities issued by majority-owned subsidiaries that are not themselves investment companies and are not relying on the exemption from the definition of investment company set forth in Section 3(c)(1) or Section 3(c)(7) of the Investment Company Act. For purposes of the Investment Act, Innventure’s majority-owned subsidiaries include those in which Innventure directly or indirectly owns 50% or more of the outstanding voting securities.</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Furthermore, if Innventure were to operate its Innventure Companies primarily for the purpose of making a profit in the sale of its Innventure Companies’ securities rather than retaining control of such companies, it may increase the likelihood that Innventure could be deemed an investment company.</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Though Innventure does not expect exit transactions to be a factor in the business plans for its Innventure Companies and does not believe that its principal activities will subject it to the Investment Company Act, if Innventure were deemed to be subject to the Investment Company Act, compliance with the additional regulatory burdens discussed above would require additional expense and attention from management for which Innventure has not accounted.</w:t>
      </w:r>
    </w:p>
    <w:p>
      <w:pPr>
        <w:pStyle w:val="TextBody"/>
        <w:bidi w:val="0"/>
        <w:spacing w:before="0" w:after="0"/>
        <w:ind w:left="0" w:right="0" w:firstLine="360"/>
        <w:jc w:val="both"/>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The determination as to whether certain Innventure assets are viewed as securities (i.e., by falling within the definition of an “investment contract”) is made by Innventure and if the SEC were to disagree with Innventure’s determination, Innventure could be deemed to be an investment company under the Investment Company Act.</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Section 3(a)(1)(A) of the Investment Company Act defines an “investment company” to include a company that “is or holds itself out as being engaged primarily, or proposes to engage primarily, in the business of investing, reinvesting or trading in securities.” Whether a company is engaged primarily in the business of investing in securities is a question of fact that is determined through the analysis of five factors. No single factor by itself is dispositive. The relevant factors are: (1) the nature of a company’s assets; (2) the source of a company’s income; (3) the company’s historic development; (4) the company’s public representations; and (5) the activities of the company’s officers and directors.</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context of its Section 3(a)(1)(A) analysis, and specifically Section 3(a)(1)(A)’s asset test, Innventure has determined that neither Innventure’s equity interest in AeroFlexx nor the loans from Innventure to AeroFlexx are a “security.” This determination is based upon Innventure’s conclusion that neither should be viewed as an “investment contract.” Applicable case law has found that an “investment contract” exists when there is the investment of money in a common enterprise with a reasonable expectation of profits to be derived primarily from the efforts of others.</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above determinations were made by Innventure based in large part on case law precedent and no-action letters issued by the SEC staff and other SEC interpretive guidance, and the significant relationship that exists between Innventure and AeroFlexx (e.g., Innventure founded AeroFlexx and the only AeroFlexx director that is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120" w:after="12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also an Innventure director is the Chief Executive Officer of AeroFlexx who is, himself, an employee of Innventure). Additionally, based in large part on case law precedent and SEC staff no-action letters, Innventure determined that the loans from Innventure to AeroFlexx should not constitute securities that are “evidences of indebtedness” under the Investment Company Act.</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Innventure has not requested the SEC to approve this analysis and the SEC has not done so. If the SEC were to disagree with Innventure’s analysis or relevant factual circumstances were to change, Innventure may be required to adjust its analysis and, potentially, its asset composition, in order to support its conclusion that it should not be deemed to be an investment company under the Investment Company Act. If Innventure were required to register as an investment company under the Investment Company Act, compliance with the additional associated regulatory burdens would require additional expense and attention from management for which Innventure has not accounted and, furthermore, could require Innventure to restructure its operations, sell certain of its assets or abstain from the purchase of certain assets, which could have a material adverse effect on Innventure’s business, financial condition, results of operations and prospects.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Risks Related to Intellectual Property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Innventure may be unable to sufficiently protect the IP rights of itself and the Innventure Companies and may encounter disputes from time to time relating to its use of the IP of third parties.</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Innventure and the Innventure Companies’ core business relies on IP acquired or licensed from Technology Solutions Providers. Innventure monitors and protects against activities that might infringe, dilute, misappropriate or otherwise violate that IP and relies on the relevant patent, trademark and other laws of the U.S. and other countries. However, Innventure, the Innventure Companies, and their MNC or other third party partners may be unable to prevent their employees, consultants or other third parties from infringing, diluting or misappropriating their IP or from otherwise violating obligations with respect to their IP and confidential information, which could have a material adverse effect on Innventure and the Innventure Companies’ business, financial condition, results of operations and prospects.</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Even upon the registration of their IP rights, there is no certainty that Innventure’s, the Innventure Companies’ or their MNC or other third party partners’ IP rights will provide them with substantial protection or commercial benefit. Despite Innventure, the Innventure Companies’ and their MNC or other third party partners’ efforts to protect their IP, some of their innovations may not be protectable, and their IP rights may offer insufficient protection from competition or unauthorized use, lapse or expire, be challenged, narrowed, invalidated, misappropriated by third parties, or be deemed unenforceable or abandoned. In addition, the laws of some non-U.S. jurisdictions, particularly those of certain emerging markets, provide less protection for Innventure and the Innventure Companies’ IP rights than the laws of the U.S. and present greater risks of infringement, misappropriation, dilution or other misuse. To the extent Innventure, the Innventure Companies, and their MNC or other third party partners cannot protect their IP and confidential information, unauthorized use and misuse of that IP could harm their competitive position and have a material adverse effect on Innventure’s business, financial condition, results of operations and prospects.</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Furthermore, regulations governing domain names may not protect Innventure’s and the Innventure Companies’ trademarks and other proprietary rights that may be displayed on or in conjunction with their website and other marketing media. Innventure may be unable to prevent third parties from acquiring or retaining domain names that are similar to, infringe upon, or diminish the value of their respective trademarks and other proprietary rights.</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Despite Innventure’s and the Innventure Companies’ efforts to protect their rights, unauthorized third parties may attempt to duplicate or copy the proprietary aspects of its technology and processes. Innventure’s and the Innventure Companies’ competitors and other third parties independently may design around or develop similar technology or otherwise duplicate Innventure’s or the Innventure Companies’ services or products such that Innventure or the Innventure Companies could not assert their IP rights against them. In addition, Innventure’s and the Innventure Companies’ contractual arrangements may not effectively prevent disclosure of their IP and confidential and proprietary information or provide an adequate remedy in the event of an unauthorized disclosure. Measures in place may not prevent misappropriation or infringement of Innventure’s or the Innventure Companies’ IP or proprietary information and the resulting loss of competitive advantage, and Innventure or the Innventure Companies may be required to litigate to protect their IP and proprietary information from misappropriation or infringement by others, which is expensive, could cause a diversion of resources and may not be successful.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120" w:after="120"/>
        <w:jc w:val="left"/>
        <w:rPr/>
      </w:pPr>
      <w:r>
        <w:rPr/>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Innventure or the Innventure Companies also may encounter disputes from time to time concerning IP rights of others, and it may not prevail in these disputes. Third parties may raise claims against Innventure or the Innventure Companies alleging that Innventure, the Innventure Companies, their employees, consultants or other third parties retained or indemnified by Innventure or the Innventure Companies, infringe, dilute, misappropriate or otherwise violate their IP rights. Some third-party IP rights may be extremely broad, and it may not be possible for Innventure or the Innventure Companies to conduct their operations in such a way as to avoid all alleged violations of such IP rights and thus, Innventure and the Innventure Companies cannot be certain that their technologies or products and services do not infringe valid patents, trademarks, copyrights or other proprietary rights held by third parties. Given the complex, rapidly changing and competitive technological and business environment in which Innventure and the Innventure Companies operate, and the potential risks and uncertainties of IP-related litigation, an assertion of an infringement claim against Innventure or the Innventure Companies may cause Innventure or the Innventure Companies to spend significant amounts to defend the claim, even if Innventure and the Innventure Companies ultimately prevail, pay significant money damages, lose significant revenues, be prohibited from using the relevant systems, processes, technologies or other IP (temporarily or permanently), cease offering certain products or services, or incur significant license, royalty or technology development expenses.</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Moreover, it has become common in recent years for individuals and groups to purchase IP assets for the sole purpose of making claims of infringement and attempting to extract settlements from companies such as Innventure and the Innventure Companies. Even in instances where Innventure and the Innventure Companies believe that claims and allegations of IP infringement against them are without merit, defending against such claims is time consuming and expensive and could result in the diversion of time and attention of Innventure’s and the Innventure Companies’ management and employees. In addition, although in some cases a third-party may have agreed to indemnify Innventure or the Innventure Companies for such costs, such indemnifying party may refuse or be unable to uphold its contractual obligations. In other cases, insurance may not cover potential claims of this type adequately or at all, and Innventure or the Innventure Companies may be required to pay monetary damages, which may be significant.</w:t>
      </w:r>
    </w:p>
    <w:p>
      <w:pPr>
        <w:pStyle w:val="TextBody"/>
        <w:bidi w:val="0"/>
        <w:spacing w:before="0" w:after="0"/>
        <w:ind w:left="0" w:right="0" w:firstLine="360"/>
        <w:jc w:val="both"/>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Competitors may develop or acquire competing solutions, and our intellectual property may not prevent others from designing around our technology.</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Innventure Companies operate in highly competitive and rapidly evolving markets. As early-stage companies, they face competition from established companies with substantially greater financial, technical, manufacturing, marketing and distribution resources, as well as from other emerging companies seeking to address similar customer needs. Current or potential competitors may independently develop technologies or products that are superior to, more cost-effective than, or more widely adopted than our solutions. In addition, competitors may acquire or partner with other companies to obtain technologies, intellectual property or capabilities that directly compete with or render our solutions less attractive.</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Although our solutions are based on proprietary technologies with existing or pending patent protections, such protections may be limited in scope, subject to challenge, or insufficient to prevent competitors from developing alternative approaches. Our intellectual property protections may not provide meaningful barriers to entry, and competitors may design around our claims by developing non-infringing technologies that achieve similar results. In some cases, design-arounds may be commercially viable and may avoid our intellectual property rights entirely. Moreover, patent litigation is costly, time-consuming and uncertain, and we may lack the financial resources to enforce our intellectual property rights effectively.</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competitors are able to develop or acquire competing solutions, whether by innovation, acquisition, partnership or design-around of our intellectual property, our market opportunity could be reduced, pricing pressure could increase, and our ability to achieve revenue growth, profitability or market acceptance could be materially adversely affected.</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General Risk Factors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 xml:space="preserve">Innventure, the Innventure Companies, and Innventure’s MNC partners may be negatively impacted by volatility in the political and economic environment, geopolitical unrest, such as the instability and hostilities in the Middle East, including the conflict with Iran, economic downturns and high interest rates, and a period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120" w:after="12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sustained inflation, which could have an adverse impact on Innventure’s and the Innventure Companies’ business, financial condition, results of operations and prospects.</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Trade, monetary and fiscal policies, including tariffs, and political and economic conditions may substantially change, and credit markets may experience periods of constriction and variability. These conditions may impact Innventure’s business. Further rising inflation may negatively impact Innventure and the Innventure Companies’ business and raise its costs. While Innventure and the Innventure Companies will take actions, wherever possible, to reduce the impact of the effects of inflation, in the case of sustained inflation, it could become increasingly difficult to effectively mitigate the increases to Innventure and the Innventure Companies’ costs. If Innventure and the Innventure Companies are unable to take actions to effectively mitigate the effect of the resulting higher costs, Innventure’s business, financial condition, results of operations and prospects could be adversely impacted.</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Higher interest rates, coupled with reduced government spending and volatility in financial markets may increase economic uncertainty and affect Innventure and the Innventure Companies’ suppliers and potential customers. Likewise, geopolitical and economic instability may disrupt our business, our supply chain and adversely affect Innventure and the Innventure Companies’ suppliers and potential customers. If the equity and credit markets deteriorate, including as a result of political or economic unrest or war, it may make necessary debt or equity financing more difficult to obtain. Increased inflation rates can adversely affect Innventure and the Innventure Companies by increasing its costs, including labor and employee benefit costs. In addition, higher inflation, macro turmoil, uncertainty and market-wide liquidity concerns could also adversely affect Innventure and the Innventure Companies’ suppliers and potential customers, which could have an adverse impact on Innventure’s business, financial condition, results of operations and prospects.</w:t>
      </w:r>
    </w:p>
    <w:p>
      <w:pPr>
        <w:pStyle w:val="TextBody"/>
        <w:bidi w:val="0"/>
        <w:spacing w:before="0" w:after="0"/>
        <w:ind w:left="0" w:right="0" w:firstLine="360"/>
        <w:jc w:val="both"/>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Changes in U.S. or foreign trade policies, including additional tariffs or global trade conflicts, may adversely impact our business and operating results.</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Innventure operates in a global marketplace, exposing the Company to various risks associated with foreign trade policies, tariffs, and global trade conflicts. Our business model, which focuses on the commercialization of breakthrough technologies and the development of innovative products, relies heavily on the import and export of goods and services across international borders. Changes in foreign trade policies, such as the imposition of new tariffs, duties, or other trade barriers, can increase the cost of our products and materials, disrupt our supply chain, and reduce our competitiveness in the global market. Additionally, ongoing or escalating trade conflicts between major economies can create uncertainty and volatility, which may result in retaliatory tariffs, trade restrictions, and other measures that can adversely affect our ability to conduct business internationally. Such conflicts can also lead to disruptions in the availability of critical components, delays in shipments, and increased costs, all of which can negatively impact our operations and financial performance. Compliance with complex and evolving international trade regulations, including export controls and economic sanctions, is essential for our global operations, and failure to comply can result in significant fines and reputational damage. Additionally, changes in these regulations can restrict our ability to sell products to certain countries or customers, limiting our market opportunities and revenue potential. Failure to effectively manage these risks could have a material adverse effect on our operations, financial condition, and results of operations.</w:t>
      </w:r>
    </w:p>
    <w:p>
      <w:pPr>
        <w:pStyle w:val="TextBody"/>
        <w:bidi w:val="0"/>
        <w:spacing w:before="0" w:after="0"/>
        <w:ind w:left="0" w:right="0" w:firstLine="360"/>
        <w:jc w:val="both"/>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Innventure, the Innventure Companies, and their MNC partners face risks and uncertainties related to litigation, regulatory actions and investigations.</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Innventure, the Innventure Companies, and their MNC partners are subject to, and may become a party to, a variety of litigation, other claims, suits, regulatory actions and government investigations and inquiries. In addition, from time to time, we may also be involved in legal proceedings and investigations arising in the ordinary course of business, including those relating to employment matters, relationships with collaboration partners, IP disputes, and other business matters. Any such claims or investigations may be time-consuming, costly, divert management resources, or otherwise have a material adverse effect on its business or results of operations.</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results of litigation and other legal proceedings are inherently uncertain and adverse judgments or settlements in some or all of these legal disputes may result in materially adverse monetary damages or injunctive relief against Innventure and the Innventure Companies. Any claims or litigation, even if fully indemnified or insured, could damage its reputation and make it more difficult to compete effectively or obtain adequate insurance in the future.</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120" w:after="12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Cyber-attacks or a failure in Innventure’s information technology and data security infrastructure could adversely affect Innventure’s business and operations.</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Innventure relies on information technology systems in connection with various aspects of the operation of its business. Innventure’s business and that of the Innventure Companies depend on the integrity of such information technology systems, which are inherently susceptible to a number of threats, including, but not limited to, viruses, ransomware, malware, malicious codes, hacking, phishing, denial of service actions, human error, network failures, electronic loss of data and other electronic security breaches. A successful material cyber-attack may result in the loss or compromise of customer, financial or operational data, theft of IP, disruption of billing, collections or normal manufacturing activities, disruption of data analytics and electronic monitoring and control of operational systems, loss of revenue, ransomware payments, remediation costs related to lost, stolen or compromised data, repairs to infrastructure, physical systems or data processing systems, increased cybersecurity protection costs or violation of United States and international privacy laws, which may result in litigation. Any of these occurrences could harm Innventure’s reputation or have a material adverse effect on its business, financial condition, results of operation and prospects. Innventure has implemented measures to mitigate potential risks associated with information technology disruptions and cybersecurity threats; however, there is no assurance that these measures will prevent cyber-attacks or security breaches. Although Innventure periodically assesses these risks, implements controls and performs business continuity and disaster recovery planning, it cannot be sure that interruptions with material adverse effects will not occur.</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Innventure may face particular data protection and privacy risks in connection with the European Union’s Global Data Protection Regulation, the California Consumer Privacy Act and other privacy laws and regulations.</w:t>
      </w:r>
    </w:p>
    <w:p>
      <w:pPr>
        <w:pStyle w:val="TextBody"/>
        <w:bidi w:val="0"/>
        <w:spacing w:before="0" w:after="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Data privacy laws continue to evolve in various jurisdictions, including the scope of consumer and commercial privacy protections. It is possible that data privacy laws, including those that may develop regarding new technologies such as AI, may be interpreted in various jurisdictions to apply to our business in the future. As our business grows, it is therefore possible that we will have a higher regulatory risk profile and increased costs as we seek to comply with new regulatory requirements related to the processing of personal and commercial data.</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Innventure is subject to laws of various jurisdictions where it operates or does business related to solicitation, collection, processing, transferring, storing or use of consumer, customer, vendor, investor, employee or other stakeholder information and personal data, including but, not limited to, the General Data Protection Regulation of the European Union, the California Consumer Privacy Act, and various other privacy laws and regulations. Innventure may be subject to additional regulations, such as the European Union AI Act, that specifically affect the use of personal information in the context of AI systems. The changes introduced by these laws and regulations increase the complexity of regulations enacted to protect business and personal data, subject Innventure to additional costs. These laws and regulations may grant, among other things, individual rights to access and delete personal information, and the right to opt out of the sale of personal information. These laws and regulations can also impose significant forfeitures and penalties for noncompliance and afford private rights of action to individuals under certain circumstances. Any failure to manage data privacy in compliance with applicable laws and regulations could result in significant regulatory investigations, fines, and sanctions, consumer and class action litigation, commercial litigation, prolonged negative publicity, data breaches, declining customer confidence, loss of key customers, employee liability, and other unfavorable consequences.</w:t>
      </w:r>
    </w:p>
    <w:p>
      <w:pPr>
        <w:pStyle w:val="TextBody"/>
        <w:bidi w:val="0"/>
        <w:spacing w:before="0" w:after="0"/>
        <w:ind w:left="0" w:right="0" w:firstLine="36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AI technologies could present business, compliance and reputational risks.</w:t>
      </w:r>
    </w:p>
    <w:p>
      <w:pPr>
        <w:pStyle w:val="TextBody"/>
        <w:bidi w:val="0"/>
        <w:spacing w:before="0" w:after="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Recent technological advances in AI and machine-learning technology both present opportunities and pose risks to Innventure. If Innventure fails to keep pace with rapidly evolving technological developments in AI, its competitive position and business results may suffer. Innventure faces risk of competitive disadvantage if its competitors more effectively use AI to better serve customers, drive internal efficiencies, and/or create new or enhanced products or services. The introduction of these technologies, particularly generative AI, into internal processes, customer engagements, and/or new and existing product offerings may result in new or expanded risks and liabilities, including due to enhanced governmental or regulatory scrutiny, litigation, compliance issues, ethical concerns, confidentiality or security risks, as well as other factors that could adversely affect Innventure’s business, reputation, and financial results. In addition, Innventure personnel could, unbeknownst to us, improperly utilize AI and machine learning-technology while carrying out their responsibilities. The use of AI in the development of Innventure’s products and services could also cause loss of IP, as well as subject us to risks related to IP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120" w:after="12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infringement or misappropriation, data privacy and cybersecurity. The use of AI can lead to unintended consequences, including generating content that appears correct but is factually inaccurate, misleading or otherwise flawed, or that results in unintended biases and discriminatory outcomes, which could harm Innventure’s reputation and business and expose Innventure to risks related to inaccuracies or errors in the output of such technologies.</w:t>
      </w:r>
    </w:p>
    <w:p>
      <w:pPr>
        <w:pStyle w:val="TextBody"/>
        <w:bidi w:val="0"/>
        <w:spacing w:before="0" w:after="0"/>
        <w:ind w:left="0" w:right="0" w:firstLine="360"/>
        <w:jc w:val="both"/>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Climate change, or legal, regulatory or market measures to address climate change may materially adversely affect Innventure’s financial condition and business operations.</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Climate change resulting from increased concentrations of carbon dioxide and other GHGs in the atmosphere could present risks to Innventure and the Innventure Companies’ future operations from natural disasters and extreme weather conditions, such as hurricanes, tornadoes, earthquakes, wildfires or flooding. Such extreme weather conditions could pose physical risks to Innventure’s and the Innventure Companies’ facilities and disrupt operation of Innventure and the Innventure Companies’ supply chain and may impact operational costs. The impacts of climate change on global resources may result in scarcity, which could in the future impact Innventure and the Innventure Companies’ ability to access sufficient equipment and materials in certain locations and result in increased costs. Concern over climate change could result in new legal or regulatory requirements designed to mitigate the effects of climate change on the environment. If such laws or regulations are more stringent than current legal or regulatory requirements, Innventure and the Innventure Companies may experience increased compliance burdens and costs to meet the regulatory obligations and may adversely affect raw material sourcing, manufacturing operations and the distribution of Innventure and the Innventure Companies’ products.</w:t>
      </w:r>
    </w:p>
    <w:p>
      <w:pPr>
        <w:pStyle w:val="TextBody"/>
        <w:bidi w:val="0"/>
        <w:spacing w:before="0" w:after="0"/>
        <w:ind w:left="0" w:right="0" w:firstLine="360"/>
        <w:jc w:val="both"/>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Changes in tax laws could adversely affect Innventure and the Innventure Companies.</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Innventure and the Innventure Companies operate in various jurisdictions and are subject to changes in applicable tax laws, treaties, or regulations in those jurisdictions. A material change in the tax laws, treaties, or regulations, or their interpretation, of any jurisdiction with which Innventure and the Innventure Companies do business, or in which Innventure and the Innventure Companies have significant operations, could adversely affect Innventure. For example, the Organisation for Economic Cooperation and Development (the “OECD”) has introduced a global minimum tax framework (“Pillar Two”) that establishes a global minimum tax rate of 15%, such that multinational enterprises with an effective tax rate in a jurisdiction below this minimum rate will need to pay additional tax. Several countries have enacted legislation to implement the OECD’s Pillar Two global minimum tax framework, and additional countries are expected to do so in the near future. On June 28, 2025, the G7 released a joint statement announcing an understanding regarding a proposed “side-by-side” solution that would exempt U.S.-parented multinational businesses from certain provisions of Pillar Two; however, no agreement regarding implementation of the proposal has yet been reached. The implementation of these rules could increase our effective tax rate and result in additional tax compliance obligations.</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We are currently assessing its impact.</w:t>
      </w:r>
    </w:p>
    <w:p>
      <w:pPr>
        <w:pStyle w:val="TextBody"/>
        <w:bidi w:val="0"/>
        <w:spacing w:before="0" w:after="0"/>
        <w:ind w:left="0" w:right="0" w:firstLine="36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1B. Unresolved Staff Comments.</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1C. Cybersecurity.</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Information about cybersecurity risks and Innventure’s risk management processes is collected, analyzed and considered as part of Innventure’s overall enterprise risk management program. In connection with Innventure’s risk management process, the Audit Committee of the Board (the “Audit Committee”) discusses with management and independent auditors the Company’s underlying policies and guidelines with respect to risk assessment and risk management, including with respect to cybersecurity. </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120" w:after="120"/>
        <w:jc w:val="left"/>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Measures are in place to mitigate potential risks associated with information technology disruptions and cybersecurity threats. Innventure periodically reassesses risks, implements controls, and performs business continuity and disaster recovery planning. Innventure’s current risk management efforts include threat intelligence gathering, vulnerability assessments, and the integration of cybersecurity technologies. These measures are designed to help protect Innventure’s proprietary systems and customer data from internal and external cybersecurity threats, including third-party systems and services. </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Innventure requires mandatory cybersecurity training for employees and periodically initiates phishing simulations to educate employees on potential threats. Innventure also engages with third-party security experts to conduct periodic cybersecurity services and risk assessments. All findings are reviewed by Innventure, and mitigation steps are taken. </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the date of this Form 10-K, Innventure has had no risks from cybersecurity threats, including as a result of any previous cybersecurity incidents, that have materially affected or are reasonably likely to materially affect Innventure’s business strategy, results of operations, or financial condition. However, there can be no assurances that the policies and processes in place will mitigate all future threats. See “Risk Factors—Cyber-attacks or a failure in Innventure’s information technology and data security infrastructure could adversely affect Innventure’s business and operations.” </w:t>
      </w:r>
    </w:p>
    <w:p>
      <w:pPr>
        <w:pStyle w:val="TextBody"/>
        <w:bidi w:val="0"/>
        <w:spacing w:before="0" w:after="0"/>
        <w:ind w:left="0" w:right="0" w:firstLine="360"/>
        <w:jc w:val="both"/>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Cybersecurity Governance</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Audit Committee is responsible for overseeing the Company’s guidelines and policies with respect to risk assessment and risk management to assess and manage the Company’s exposure to enterprise risk. The Audit Committee periodically reviews and discusses with management the Company’s policies with respect to risk assessment and risk management, including but not limited to cybersecurity and enterprise risk, and steps management has taken to monitor and control such exposures.</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Senior Director of Information Technology (“IT”) is responsible for assessing and managing risks from cybersecurity threats. Innventure’s Senior Director of IT has a Bachelor’s degree in Accounting and a Master of Business Administration degree. Our Senior Director of IT is informed about and monitors the prevention, detection, mitigation, and remediation of cybersecurity incidents through reports from an external consultant. The external consultant has 20 years of cybersecurity experience. The external consultant also has an Associate’s degree in Database Administration and Network and System Administration. The external consultant also maintains the industry-recognized CompTIA Security+ certification. The Senior Director of IT reports any exposure to risks from cybersecurity threats to our CFO. The CFO is expected to ensure that regular updates are provided to the Audit Committee on risks related to cybersecurity.</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120" w:after="12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2. Properties.</w:t>
      </w:r>
    </w:p>
    <w:p>
      <w:pPr>
        <w:pStyle w:val="TextBody"/>
        <w:bidi w:val="0"/>
        <w:spacing w:before="0" w:after="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principal executive offices are leased and located in Orlando, Florida. The following table sets forth the principal facilities of Accelsius and AeroFlexx as of December 31, 2025, each of which is leased. These facilities are well-maintained, are suitable and adequate for their use and have sufficient capacity for our current needs and expected near-term growth.</w:t>
      </w:r>
    </w:p>
    <w:p>
      <w:pPr>
        <w:pStyle w:val="TextBody"/>
        <w:bidi w:val="0"/>
        <w:spacing w:before="0" w:after="0"/>
        <w:ind w:left="0" w:right="0" w:firstLine="360"/>
        <w:jc w:val="left"/>
        <w:rPr/>
      </w:pPr>
      <w:r>
        <w:rPr/>
      </w:r>
    </w:p>
    <w:tbl>
      <w:tblPr>
        <w:tblW w:w="6553" w:type="dxa"/>
        <w:jc w:val="left"/>
        <w:tblInd w:w="0" w:type="dxa"/>
        <w:tblLayout w:type="fixed"/>
        <w:tblCellMar>
          <w:top w:w="28" w:type="dxa"/>
          <w:left w:w="28" w:type="dxa"/>
          <w:bottom w:w="28" w:type="dxa"/>
          <w:right w:w="28" w:type="dxa"/>
        </w:tblCellMar>
      </w:tblPr>
      <w:tblGrid>
        <w:gridCol w:w="962"/>
        <w:gridCol w:w="845"/>
        <w:gridCol w:w="848"/>
        <w:gridCol w:w="634"/>
        <w:gridCol w:w="634"/>
        <w:gridCol w:w="636"/>
        <w:gridCol w:w="582"/>
        <w:gridCol w:w="582"/>
        <w:gridCol w:w="830"/>
      </w:tblGrid>
      <w:tr>
        <w:trPr/>
        <w:tc>
          <w:tcPr>
            <w:tcW w:w="96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Location</w:t>
            </w:r>
          </w:p>
        </w:tc>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Innventure Company</w:t>
            </w:r>
          </w:p>
        </w:tc>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Use</w:t>
            </w:r>
          </w:p>
        </w:tc>
      </w:tr>
      <w:tr>
        <w:trPr/>
        <w:tc>
          <w:tcPr>
            <w:tcW w:w="26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Austin, TX (Shoal Creek Blvd.)</w:t>
            </w:r>
          </w:p>
        </w:tc>
        <w:tc>
          <w:tcPr>
            <w:tcW w:w="19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Accelsius</w:t>
            </w:r>
          </w:p>
        </w:tc>
        <w:tc>
          <w:tcPr>
            <w:tcW w:w="19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Subleased</w:t>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Austin, TX (Kramer Lane)</w:t>
            </w:r>
          </w:p>
        </w:tc>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Accelsius</w:t>
            </w:r>
          </w:p>
        </w:tc>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Executive offices</w:t>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Austin, TX (Springdale Road)</w:t>
            </w:r>
          </w:p>
        </w:tc>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Accelsius</w:t>
            </w:r>
          </w:p>
        </w:tc>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Manufacturing facility</w:t>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West Chester, OH</w:t>
            </w:r>
          </w:p>
        </w:tc>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AeroFlexx</w:t>
            </w:r>
          </w:p>
        </w:tc>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Manufacturing facility</w:t>
            </w:r>
          </w:p>
        </w:tc>
      </w:tr>
    </w:tbl>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3. Legal Proceedings.</w:t>
      </w:r>
    </w:p>
    <w:p>
      <w:pPr>
        <w:pStyle w:val="TextBody"/>
        <w:bidi w:val="0"/>
        <w:spacing w:lineRule="auto" w:line="26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Innventure (including AeroFlexx, Accelsius and Refinity) is currently not a party to or subject to any material legal proceedings. Innventure may from time to time become a party to various legal proceedings arising in the ordinary course of its business, which could have a material adverse effect on its business, financial condition or results of operations. Regardless of outcome, litigation or other legal proceedings could adversely impact Innventure’s business due to defense and settlement costs, diversion of management resources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5. Market for Registrant’s Common Equity, Related Stockholder Matters and Issuer Purchases of Equity Securities.</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Common Stock trades on Nasdaq under the symbol “INV”.</w:t>
      </w:r>
    </w:p>
    <w:p>
      <w:pPr>
        <w:pStyle w:val="TextBody"/>
        <w:bidi w:val="0"/>
        <w:spacing w:before="0" w:after="0"/>
        <w:ind w:left="0" w:right="0" w:firstLine="720"/>
        <w:jc w:val="both"/>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Holders of Record</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March 23, 2026, there were 167 holders of record of our Common Stock. The number of record holders was determined from the records of our transfer agent and does not include beneficial owners of shares of Common Stock that are held in the names of various security brokers, dealers, and registered clearing agencies.</w:t>
      </w:r>
    </w:p>
    <w:p>
      <w:pPr>
        <w:pStyle w:val="TextBody"/>
        <w:bidi w:val="0"/>
        <w:spacing w:before="0" w:after="0"/>
        <w:ind w:left="0" w:right="0" w:firstLine="360"/>
        <w:jc w:val="both"/>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Dividends</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not paid any dividends on our Common Stock to date. It is our present intention to retain any earnings for use in our business operations, and, accordingly we do not anticipate that the Board will declare any dividends in the foreseeable future on our Common Stock.</w:t>
      </w:r>
    </w:p>
    <w:p>
      <w:pPr>
        <w:pStyle w:val="TextBody"/>
        <w:bidi w:val="0"/>
        <w:spacing w:before="0" w:after="0"/>
        <w:ind w:left="0" w:right="0" w:firstLine="360"/>
        <w:jc w:val="both"/>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Recent Sales of Unregistered Securities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issued each of the following securities in transactions not involving an underwriter and not requiring registration under Section 5 of the Securities Act in reliance on the exemption afforded by Section 4(a)(2) thereof or Regulation D promulgated under the Securities Act.</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September 15, 2025, the Company entered into a securities purchase agreement with Yorkville for up to $15.0 million in convertible debentures (“New Convertible Debentures”), issuable in two tranches. On September 15, 2025, the Company issued the first tranche of the New Convertible Debentures for $10.0 million, with a 10% original issue discount, yielding $9.0 million in net proceeds, bearing 5% annual interest, and maturing on September 15, 2026.</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October 3, 2025, the Company raised approximately $9.8 million through a private placement, issuing 1,625,235 shares of Common Stock at $6.00 per share and Series A warrants to purchase 1,625,235 shares of Common Stock (the “Series A Warrants”). The Series A Warrants, exercisable from April 6, 2026 at $8.00 per share, are redeemable under certain conditions until October 3, 2030.</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November 12, 2025, the Company issued the second tranche of the New Convertible Debentures for $5.0 million, with a 10% original issue discount, yielding $4.5 million in net proceeds, bearing 5% annual interest, and maturing on September 15, 2026.</w:t>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Purchases of Equity Securities by the Issuer and Affiliated Purchasers</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None. </w:t>
      </w:r>
    </w:p>
    <w:p>
      <w:pPr>
        <w:pStyle w:val="TextBody"/>
        <w:bidi w:val="0"/>
        <w:spacing w:before="0" w:after="0"/>
        <w:ind w:left="0" w:right="0" w:firstLine="72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7. MANAGEMENT’S DISCUSSION AND ANALYSIS OF FINANCIAL CONDITION AND RESULTS OF OPERATIONS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Unless the context otherwise requires, references in this section to “we”, “us” and “our” refer to the business and operations of Innventure LLC and its consolidated subsidiaries prior to the Business Combination, which became the business of the Company and its subsidiaries following the consummation of the Business Combination. Unless otherwise indicated, all dollar amounts (“$”) are expressed in thousands.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our financial condition and results of operations should be read in conjunction with our and our predecessor’s, as applicable, consolidated financial statements and related notes and other information included elsewhere in this Form 10-K. This discussion contains forward-looking statements that involve risks and uncertainties. Our actual results could differ materially from such forward-looking statements. Factors that could cause or contribute to those differences include, but are not limited to, those identified below in this section and those discussed in the sections titled “Risk Factors” and “Cautionary Statement Regarding Forward–Looking Statements” included elsewhere in this Form 10-K. Additionally, our historical results are not necessarily indicative of the results that may be expected for any period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Innventure is an industrial growth conglomerate that founds, funds, and operates companies with a focus on commercializing transformative, sustainable technology solutions acquired or licensed from MNCs or other technology innovators with the intent to maximize values for investors and other stakeholders through positive cash flow generated through holding long term positions in our Innventure Companies. Refer to Item 1. “Business” of this Form 10-K for a detailed discussion of our business activities.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Segments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Based on the allocation of resources and assessment of financial performance by our Chief Executive Officer (who has been determined to be our Chief Operating Decision Maker), we have identified one reportable segment: Technology. The Company’s remaining operations are not reportable segments and are classified as “Other”. “Other” primarily includes the Company’s remaining operations consisting of Innventure’s original platform business, service activities, Refinity and equity method investment activities.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The Business Combination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October 24, 2023, Learn CW and Innventure LLC entered into a Business Combination Agreement with Holdco, LCW Merger Sub and Innventure Merger Sub. On September 30, 2024, the stockholders of Learn CW approved the Business Combination, and the Business Combination closed on the Closing Date. The Business Combination has been accounted for using the acquisition method of accounting. The Company determined the accounting acquirer to be Holdco. Accordingly, the Company recorded assets acquired, liabilities assumed and non-controlling interest at their acquisition date fair values and recognized goodwill.</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a consequence of the Business Combination, Innventure, Inc. is the successor to an SEC-registered and Nasdaq listed company which will require Innventure to hire additional personnel and implement procedures and processes to address public company regulatory requirements and customary practices. Innventure expects to incur additional annual expenses as a public company for, among other things, directors’ and officers’ liability insurance, director fees and additional internal and external accounting and legal and administrative resources, including increased audit and legal fees.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Innventure’s future results of consolidated operations and financial position may not be comparable to historical results as a result of the Business Combination.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Financial Summary</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Highlights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year ended December 31, 2025 includes the following highlights: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Innventure’s Technology segment began generating revenue related to its cooling systems for data centers.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Total operational expenses of approximately $466.8 million, primarily made up of a goodwill impairment charge and increased costs associated with generating revenue for the Technology Segment, professional and legal fees, and sales and advertising costs for the year ended December 31, 2025.</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Cash inflows from equity and net debt raises were approximately $139.3 million for the year ended December 31, 2025. These cash inflows from equity and net debt raises are compared to net cash outflows related to operating and investing activities of $84.8 million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Results of Operations for the Years Ended December 31, 2025 and 2024</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To reflect the application of different bases of accounting as a result of the Business Combination, the tables provided below separate the Company’s results via a black line into two distinct periods as follows: (1) up to and including the Closing Date (labeled “Predecessor”) and (2) the period after that date (labeled “Successor”). The periods after October 1, 2024 are the “Successor” period while the periods before October 2, 2024 are the “Predecessor” periods.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Management believes reviewing our operating results for the twelve-months ended December 31, 2024 by combining the results of the Predecessor and Successor periods (“S/P Combined”) is more useful in discussing our overall operating performance when compared to the same period in the prior year. The combined results of operations included in our discussion below are not considered to be prepared in accordance with U.S. GAAP and have not been prepared as pro forma results under applicable regulations, may not reflect the actual results we would have achieved had the Business Combination occurred at the beginning of fiscal 2024 and should not be viewed as a substitute for the results of operations of the Predecessor and Successor periods presented in accordance with GAAP. Accordingly, in addition to presenting our results of operations as reported in our consolidated financial statements in accordance with GAAP, the tables below present the non-GAAP combined results for the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120" w:after="120"/>
        <w:jc w:val="left"/>
        <w:rPr/>
      </w:pPr>
      <w:r>
        <w:rPr/>
      </w:r>
    </w:p>
    <w:tbl>
      <w:tblPr>
        <w:tblW w:w="10205" w:type="dxa"/>
        <w:jc w:val="left"/>
        <w:tblInd w:w="0" w:type="dxa"/>
        <w:tblLayout w:type="fixed"/>
        <w:tblCellMar>
          <w:top w:w="28" w:type="dxa"/>
          <w:left w:w="28" w:type="dxa"/>
          <w:bottom w:w="28" w:type="dxa"/>
          <w:right w:w="28" w:type="dxa"/>
        </w:tblCellMar>
      </w:tblPr>
      <w:tblGrid>
        <w:gridCol w:w="817"/>
        <w:gridCol w:w="385"/>
        <w:gridCol w:w="392"/>
        <w:gridCol w:w="205"/>
        <w:gridCol w:w="793"/>
        <w:gridCol w:w="114"/>
        <w:gridCol w:w="203"/>
        <w:gridCol w:w="203"/>
        <w:gridCol w:w="109"/>
        <w:gridCol w:w="225"/>
        <w:gridCol w:w="774"/>
        <w:gridCol w:w="125"/>
        <w:gridCol w:w="203"/>
        <w:gridCol w:w="203"/>
        <w:gridCol w:w="109"/>
        <w:gridCol w:w="223"/>
        <w:gridCol w:w="767"/>
        <w:gridCol w:w="124"/>
        <w:gridCol w:w="109"/>
        <w:gridCol w:w="109"/>
        <w:gridCol w:w="109"/>
        <w:gridCol w:w="206"/>
        <w:gridCol w:w="704"/>
        <w:gridCol w:w="114"/>
        <w:gridCol w:w="109"/>
        <w:gridCol w:w="109"/>
        <w:gridCol w:w="109"/>
        <w:gridCol w:w="196"/>
        <w:gridCol w:w="754"/>
        <w:gridCol w:w="109"/>
        <w:gridCol w:w="109"/>
        <w:gridCol w:w="109"/>
        <w:gridCol w:w="109"/>
        <w:gridCol w:w="285"/>
        <w:gridCol w:w="286"/>
        <w:gridCol w:w="596"/>
      </w:tblGrid>
      <w:tr>
        <w:trPr/>
        <w:tc>
          <w:tcPr>
            <w:tcW w:w="817"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r>
      <w:tr>
        <w:trPr/>
        <w:tc>
          <w:tcPr>
            <w:tcW w:w="1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1"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Successor</w:t>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Predecessor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S/P Combined (Non-GAAP)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Non-GAAP</w:t>
            </w:r>
          </w:p>
        </w:tc>
      </w:tr>
      <w:tr>
        <w:trPr/>
        <w:tc>
          <w:tcPr>
            <w:tcW w:w="1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Year Ended December 31, 2025</w:t>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Period from October 2, 2024 through December 31, 2024</w:t>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Period from January 1, 2024 through October 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Year ended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2025 vs 2024 Changes</w:t>
            </w:r>
          </w:p>
        </w:tc>
      </w:tr>
      <w:tr>
        <w:trPr/>
        <w:tc>
          <w:tcPr>
            <w:tcW w:w="1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1" w:type="dxa"/>
            <w:gridSpan w:val="33"/>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4"/>
              </w:rPr>
            </w:pPr>
            <w:r>
              <w:rPr>
                <w:rFonts w:ascii="Times New Roman;serif" w:hAnsi="Times New Roman;serif"/>
                <w:b/>
                <w:color w:val="000000"/>
                <w:sz w:val="14"/>
              </w:rPr>
              <w:t>(in thousands)</w:t>
            </w:r>
          </w:p>
        </w:tc>
      </w:tr>
      <w:tr>
        <w:trPr/>
        <w:tc>
          <w:tcPr>
            <w:tcW w:w="1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Revenue</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2,056 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456 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764 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1,220 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68.5 </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Operating Expenses</w:t>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1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18,830 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3,752 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4,529 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270"/>
              <w:jc w:val="right"/>
              <w:rPr>
                <w:rFonts w:ascii="Times New Roman;serif" w:hAnsi="Times New Roman;serif"/>
                <w:b w:val="false"/>
                <w:color w:val="000000"/>
                <w:sz w:val="16"/>
              </w:rPr>
            </w:pPr>
            <w:r>
              <w:rPr>
                <w:rFonts w:ascii="Times New Roman;serif" w:hAnsi="Times New Roman;serif"/>
                <w:b w:val="false"/>
                <w:color w:val="000000"/>
                <w:sz w:val="16"/>
              </w:rPr>
              <w:t>nm*</w:t>
            </w:r>
          </w:p>
        </w:tc>
      </w:tr>
      <w:tr>
        <w:trPr/>
        <w:tc>
          <w:tcPr>
            <w:tcW w:w="1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and administrative</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66,710 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29,652 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26,608 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56,260 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18.6 </w:t>
            </w:r>
          </w:p>
        </w:tc>
        <w:tc>
          <w:tcPr>
            <w:tcW w:w="596"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firstLine="27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Sales and marketing</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9,633 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2,009 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4,178 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6,187 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55.7 </w:t>
            </w:r>
          </w:p>
        </w:tc>
        <w:tc>
          <w:tcPr>
            <w:tcW w:w="596"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27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Research and development</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25,025 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5,340 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5,978 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11,318 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121.1 </w:t>
            </w:r>
          </w:p>
        </w:tc>
        <w:tc>
          <w:tcPr>
            <w:tcW w:w="596"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firstLine="27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Goodwill impairment</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346,557 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346,557 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96"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Operating Expenses</w:t>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466,755</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40,753</w:t>
            </w: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37,541</w:t>
            </w: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78,294</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388,461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496.2</w:t>
            </w:r>
            <w:r>
              <w:rPr>
                <w:color w:val="000000"/>
              </w:rPr>
              <w:t> </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r>
      <w:tr>
        <w:trPr/>
        <w:tc>
          <w:tcPr>
            <w:tcW w:w="1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Loss from Operations</w:t>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(464,699)</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(40,297)</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(36,777)</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(77,074)</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(387,625)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502.9</w:t>
            </w:r>
            <w:r>
              <w:rPr>
                <w:color w:val="000000"/>
              </w:rPr>
              <w:t> </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r>
      <w:tr>
        <w:trPr/>
        <w:tc>
          <w:tcPr>
            <w:tcW w:w="1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Non-operating (Expense) and Income</w:t>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1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net</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(9,678)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(1,132)</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(1,300)</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(2,432)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297.9 </w:t>
            </w:r>
          </w:p>
        </w:tc>
        <w:tc>
          <w:tcPr>
            <w:tcW w:w="596"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27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gain (loss) from investments</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11,547 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11,547 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(11,416)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(98.9)</w:t>
            </w:r>
          </w:p>
        </w:tc>
        <w:tc>
          <w:tcPr>
            <w:tcW w:w="5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gain on investments - due to related parties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(468)</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270"/>
              <w:jc w:val="right"/>
              <w:rPr>
                <w:rFonts w:ascii="Times New Roman;serif" w:hAnsi="Times New Roman;serif"/>
                <w:b w:val="false"/>
                <w:color w:val="000000"/>
                <w:sz w:val="16"/>
              </w:rPr>
            </w:pPr>
            <w:r>
              <w:rPr>
                <w:rFonts w:ascii="Times New Roman;serif" w:hAnsi="Times New Roman;serif"/>
                <w:b w:val="false"/>
                <w:color w:val="000000"/>
                <w:sz w:val="16"/>
              </w:rPr>
              <w:t>nm*</w:t>
            </w:r>
          </w:p>
        </w:tc>
      </w:tr>
      <w:tr>
        <w:trPr/>
        <w:tc>
          <w:tcPr>
            <w:tcW w:w="1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of financial liabilities</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16,146 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(20,946)</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(478)</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(21,424)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175.4 </w:t>
            </w:r>
          </w:p>
        </w:tc>
        <w:tc>
          <w:tcPr>
            <w:tcW w:w="596"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firstLine="27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Equity method investment (loss) income</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(12,592)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(902)</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893 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(12,583)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r>
      <w:tr>
        <w:trPr/>
        <w:tc>
          <w:tcPr>
            <w:tcW w:w="1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Realized gain on conversion of available for sale investment</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1,507 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96"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firstLine="27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Loss on extinguishment of debt</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(16,064)</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(16,064)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96"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27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Loss on extinguishment of related party debt</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(3,538)</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96"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firstLine="27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Loss on conversion of promissory notes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(1,119)</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(1,119)</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r>
      <w:tr>
        <w:trPr/>
        <w:tc>
          <w:tcPr>
            <w:tcW w:w="159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ind w:left="0" w:right="0" w:firstLine="270"/>
              <w:jc w:val="left"/>
              <w:rPr>
                <w:sz w:val="4"/>
                <w:szCs w:val="4"/>
              </w:rPr>
            </w:pPr>
            <w:r>
              <w:rPr>
                <w:sz w:val="4"/>
                <w:szCs w:val="4"/>
              </w:rPr>
            </w:r>
          </w:p>
        </w:tc>
      </w:tr>
      <w:tr>
        <w:trPr/>
        <w:tc>
          <w:tcPr>
            <w:tcW w:w="1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Write-off of loan commitment fee asset</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(10,041)</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(10,041)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firstLine="270"/>
              <w:jc w:val="right"/>
              <w:rPr>
                <w:rFonts w:ascii="Times New Roman;serif" w:hAnsi="Times New Roman;serif"/>
                <w:b w:val="false"/>
                <w:color w:val="000000"/>
                <w:sz w:val="16"/>
              </w:rPr>
            </w:pPr>
            <w:r>
              <w:rPr>
                <w:rFonts w:ascii="Times New Roman;serif" w:hAnsi="Times New Roman;serif"/>
                <w:b w:val="false"/>
                <w:color w:val="000000"/>
                <w:sz w:val="16"/>
              </w:rPr>
              <w:t>nm*</w:t>
            </w:r>
          </w:p>
        </w:tc>
      </w:tr>
      <w:tr>
        <w:trPr/>
        <w:tc>
          <w:tcPr>
            <w:tcW w:w="1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Miscellaneous other expense</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(62.0)</w:t>
            </w:r>
          </w:p>
        </w:tc>
        <w:tc>
          <w:tcPr>
            <w:tcW w:w="596"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Non-operating (Expense) Income</w:t>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(24,134)</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(33,078)</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9,011</w:t>
            </w: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(24,067)</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0.3</w:t>
            </w:r>
            <w:r>
              <w:rPr>
                <w:color w:val="000000"/>
              </w:rPr>
              <w:t> </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firstLine="270"/>
              <w:jc w:val="right"/>
              <w:rPr>
                <w:rFonts w:ascii="Times New Roman;serif" w:hAnsi="Times New Roman;serif"/>
                <w:b/>
                <w:color w:val="000000"/>
                <w:sz w:val="16"/>
              </w:rPr>
            </w:pPr>
            <w:r>
              <w:rPr>
                <w:rFonts w:ascii="Times New Roman;serif" w:hAnsi="Times New Roman;serif"/>
                <w:b/>
                <w:color w:val="000000"/>
                <w:sz w:val="16"/>
              </w:rPr>
              <w:t>%</w:t>
            </w:r>
          </w:p>
        </w:tc>
      </w:tr>
      <w:tr>
        <w:trPr/>
        <w:tc>
          <w:tcPr>
            <w:tcW w:w="1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expense (benefit)</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(13,483)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(3,282)</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(2,850)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(10,633)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r>
      <w:tr>
        <w:trPr/>
        <w:tc>
          <w:tcPr>
            <w:tcW w:w="1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Net Loss</w:t>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(475,350)</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(70,093)</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(28,198)</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(98,291)</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(377,059)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383.6</w:t>
            </w:r>
            <w:r>
              <w:rPr>
                <w:color w:val="000000"/>
              </w:rPr>
              <w:t> </w:t>
            </w:r>
          </w:p>
        </w:tc>
        <w:tc>
          <w:tcPr>
            <w:tcW w:w="5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r>
      <w:tr>
        <w:trPr/>
        <w:tc>
          <w:tcPr>
            <w:tcW w:w="1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net loss attributable to</w:t>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1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Non-redeemable non-controlling interest</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(182,033)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(8,339)</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(11,762)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(20,101)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(161,932)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805.6 </w:t>
            </w:r>
          </w:p>
        </w:tc>
        <w:tc>
          <w:tcPr>
            <w:tcW w:w="5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Net Loss Attributable to Innventure, Inc. Stockholders / Innventure LLC Unitholders</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(293,317)</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(61,754)</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(16,436)</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(78,190)</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(215,127)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153.5</w:t>
            </w:r>
            <w:r>
              <w:rPr>
                <w:color w:val="000000"/>
              </w:rPr>
              <w:t> </w:t>
            </w:r>
          </w:p>
        </w:tc>
        <w:tc>
          <w:tcPr>
            <w:tcW w:w="5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r>
      <w:tr>
        <w:trPr/>
        <w:tc>
          <w:tcPr>
            <w:tcW w:w="1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doub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159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159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159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159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159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159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159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159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159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________________</w:t>
      </w:r>
    </w:p>
    <w:p>
      <w:pPr>
        <w:pStyle w:val="TextBody"/>
        <w:bidi w:val="0"/>
        <w:spacing w:lineRule="auto" w:line="288" w:before="0" w:after="240"/>
        <w:jc w:val="both"/>
        <w:rPr>
          <w:rFonts w:ascii="Times New Roman;serif" w:hAnsi="Times New Roman;serif"/>
          <w:b w:val="false"/>
          <w:i/>
          <w:color w:val="000000"/>
          <w:sz w:val="16"/>
        </w:rPr>
      </w:pPr>
      <w:r>
        <w:rPr>
          <w:rFonts w:ascii="Times New Roman;serif" w:hAnsi="Times New Roman;serif"/>
          <w:b w:val="false"/>
          <w:i/>
          <w:color w:val="000000"/>
          <w:sz w:val="16"/>
        </w:rPr>
        <w:t>*not meaningful</w:t>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Revenue was $2.1 million and $1.2 million for the years ended December 31, 2025 and 2024 an increase of $0.8 million, or 68.5%. The increase was driven by an increase in product sales in the Technology segment, offset by a decrease in management fee income.</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Cost of sales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Cost of sales was $18.8 million and $4.5 million for the year ended December 31, 2025 and 2024, respectively, an increase of $14.3 million. The increase relates to the generation of revenue at the Technology segment resulting in an increase in costs related to supplies and materials, an increase in amortization of intangible assets and, an increase in employee costs.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General and administrative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 was $66.7 million and $56.3 million for the year ended December 31, 2025 and 2024, respectively, an increase of 10.4 million, or 18.6%. The increase in expenditure was attributed to increased stock-based compensation costs, increased intangible asset amortization, and increased professional and legal fees.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Goodwill impairment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Goodwill impairment expense was $346.6 million for the December 31, 2025 The impairment was due to sustained decreases in the Company’s publicly quoted share price and market capitalization, which were sensitive to the general downward volatility experienced in the stock market during late February 2025 through April 2025.</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Sales and marketing</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Sales and marketing expense was $9.6 million and $6.2 million for the year ended December 31, 2025 and 2024, respectively, an increase of $3.4 million, or 55.7%. The increase was due to increased employee costs and an increase in advertising and marketing-related events and expenses primarily associated with the commercialization phase of the Technology segment.</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 was $25.0 million and $11.3 million for the year ended December 31, 2025 and 2024, respectively, an increase of $13.7 million or 121.1%. The increase was due to an increase in amortization of intangible assets, an increase in employee costs, and an increase in development fees at Refinity.</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Interest expense, net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Interest expense, net was $9.7 million and $2.4 million for the year ended December 31, 2025 and 2024, respectively, an increase of $7.3 million. The increase was due to interest expense on the convertible debentures (collectively, the “Convertible Debentures”) issued to Yorkville pursuant to each of the securities purchase agreement, dated September 15, 2025 (“Securities Purchase Agreement”), and the securities purchase agreement, dated March 25, 2025, contractual interest expense for the term loan agreement entered into on October 22, 2024 by and among the Company and WTI Fund X, Inc. and WTI Fund XI, Inc. (collectively, “WTI Lenders”), which provides for a term loan facility in the aggregate principal amount of up to $50,000 (the “WTI Facility”), amortization of issuance costs on the WTI Facility, partially offset by a net decrease in interest expense related to other debt instruments that have been paid down, and by an increase in interest income.</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Net gain (loss) from investments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Net gain on investments was $0.1 million and $11.5 million for the year ended December 31, 2025 and 2024, respectively, a decrease of $11.4 million or 98.9%. The decrease was due to the gain on investment in PureCycle Technologies, Inc. (“PCT”) owned stock via Class PCTA units prior year, which is no longer consolidated in the Company’s consolidated financial statements as a result of Business Combination.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Net (loss) gain on investments - due to related parties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There was no net loss on investments – due to related parties for the year ended December 31, 2025 and $0.5 million for the year ended December 31, 2024. The change was due to an increase in the fair value of the liability of PCT stock owed to other parties for the prior year. The Class PCTA associated liabilities are no longer consolidated in the Company’s consolidated financial statements as a result of the Business Combination.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Change in fair value of financial liabilities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 of financial liabilities increased by $16.1 million and decreased by $21.4 million for the year ended December 31, 2025 and 2024, respectively, an increase to income of $37.6 million, or 175.4%. The increase to income was primarily due to decreases in fair value for warrants and earnout liabilities, and was offset by a net increase in the fair value of the embedded derivative liabilities.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Equity method investment (loss) income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Equity method investment loss was $12.6 million and immaterial for the year ended December 31, 2025 and 2024, respectively. The change is related to losses from the Company’s equity method investment in AeroFlexx, partially offset by a gain from the ESG Fund in 2024.</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Realized gain on conversion of available for sale investment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Realized gain on conversion of available for sale investment was $1.5 million for the year ended December 31, 2025, was due to the partial conversion of the AeroFlexx investment in debt securities resulting in a realized gain. There was no realized gain on conversion of available for sale investment for the year ended December 31, 2024.</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Loss on extinguishment of debt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Loss on extinguishment of debt was a noncash expense totaling $16.1 million for the year ended December 31, 2025 due to the modification of the WTI Facility and a modification of the first and second tranches of the New Convertible Debentures to Yorkville. There was no gain or loss on extinguishment of debt for the year ended December 31, 2024.</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Loss on extinguishment of related party debt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Loss on extinguishment of related party debt was $3.5 million for the year ended December 31, 2025 due to the extinguishment of the related party loans by additional issuances of the Company’s series C preferred stock, $0.0001 par value per share (“Series C Preferred Stock”). There was no gain or loss on extinguishment of related party debt for the year ended December 31, 2024.</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Loss on conversion of promissory notes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Loss on conversion of promissory notes was $1.1 million during the year ended December 31, 2024 due to the automatic conversion of promissory notes into equity instruments which was treated as an extinguishment thereby generating a loss. There was no equivalent transaction for the year ended December 31, 2025.</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Loss attributable to Non-controlling interest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Loss attributable to non-controlling interests was $182.0 million and $20.1 million for the years ended December 31, 2025 and 2024, respectively. This was due to the increase in the Technology segment net loss as a result of goodwill impairment.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Non-GAAP Financial Measures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use certain financial measures that are not calculated in accordance with generally accepted accounting principles in the U.S. (GAAP) to supplement our consolidated financial statements. These non-GAAP financial measures provide additional information to investors to facilitate comparisons of past and present operating results, identify trends in our underlying operating performance, and offer greater transparency on how we evaluate our business activities. These measures are integral to our processes for budgeting, managing operations, making strategic decisions, and evaluating our performance.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primary non-GAAP financial measures are EBITDA and Adjusted EBITDA. We define EBITDA as net income before interest, income taxes, and depreciation and amortization. Adjusted EBITDA is defined as EBITDA further adjusted to exclude certain non-cash items, non-recurring expenses, and other items that are not indicative of our core operating activities. These may include stock-based compensation, acquisition costs, and other financial items. We believe Adjusted EBITDA is valuable for investors and analysts as it provides additional insight into our operational performance, excluding the impacts of certain financing, investing, and other non-operational activities. This measure helps in comparing our current operating results with prior periods and with those of other companies in our industry. It is also used internally for allocating resources efficiently, assessing the economic outcomes of acquisitions and strategic decisions, and evaluating the performance of our management team.</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There are limitations to Adjusted EBITDA, including its exclusion of cash expenditures, future requirements for capital expenditures and contractual commitments, and changes in our cash requirements for working capital needs. Adjusted EBITDA also omits significant interest expenses and related cash requirements for interest and payments. While depreciation and amortization are non-cash charges, the associated assets will often need to be replaced in the future, and Adjusted EBITDA does not reflect the cash required for such replacements. Additionally, Adjusted EBITDA does not account for income or other taxes or necessary cash tax payments.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Investors should use caution when comparing our non-GAAP measure to similar metrics used by other companies, as definitions can vary. Adjusted EBITDA should not be considered in isolation or as a substitute for GAAP financial measures.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presenting Adjusted EBITDA, we aim to provide investors with an additional tool for assessing the operational performance of our business. It serves as a useful complement to our GAAP results, offering a more comprehensive understanding of our financial health and operational efficiencies.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from Net Loss to EBITDA and Adjusted EBITDA for the specified periods:</w:t>
      </w:r>
    </w:p>
    <w:tbl>
      <w:tblPr>
        <w:tblW w:w="10205" w:type="dxa"/>
        <w:jc w:val="left"/>
        <w:tblInd w:w="0" w:type="dxa"/>
        <w:tblLayout w:type="fixed"/>
        <w:tblCellMar>
          <w:top w:w="28" w:type="dxa"/>
          <w:left w:w="28" w:type="dxa"/>
          <w:bottom w:w="28" w:type="dxa"/>
          <w:right w:w="28" w:type="dxa"/>
        </w:tblCellMar>
      </w:tblPr>
      <w:tblGrid>
        <w:gridCol w:w="987"/>
        <w:gridCol w:w="472"/>
        <w:gridCol w:w="482"/>
        <w:gridCol w:w="269"/>
        <w:gridCol w:w="1103"/>
        <w:gridCol w:w="138"/>
        <w:gridCol w:w="203"/>
        <w:gridCol w:w="203"/>
        <w:gridCol w:w="109"/>
        <w:gridCol w:w="681"/>
        <w:gridCol w:w="606"/>
        <w:gridCol w:w="607"/>
        <w:gridCol w:w="203"/>
        <w:gridCol w:w="203"/>
        <w:gridCol w:w="109"/>
        <w:gridCol w:w="647"/>
        <w:gridCol w:w="647"/>
        <w:gridCol w:w="649"/>
        <w:gridCol w:w="109"/>
        <w:gridCol w:w="109"/>
        <w:gridCol w:w="109"/>
        <w:gridCol w:w="487"/>
        <w:gridCol w:w="440"/>
        <w:gridCol w:w="633"/>
      </w:tblGrid>
      <w:tr>
        <w:trPr/>
        <w:tc>
          <w:tcPr>
            <w:tcW w:w="98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r>
      <w:tr>
        <w:trPr/>
        <w:tc>
          <w:tcPr>
            <w:tcW w:w="1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20"/>
              </w:rPr>
              <w:t xml:space="preserve">Successor </w:t>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20"/>
              </w:rPr>
              <w:t xml:space="preserve">Predecessor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S/P Combined (Non-GAAP)</w:t>
            </w:r>
          </w:p>
        </w:tc>
      </w:tr>
      <w:tr>
        <w:trPr/>
        <w:tc>
          <w:tcPr>
            <w:tcW w:w="1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 2025</w:t>
            </w:r>
          </w:p>
        </w:tc>
        <w:tc>
          <w:tcPr>
            <w:tcW w:w="5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Period from October 2, 2024 through December 31, 2024</w:t>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Period from January 1, 2024 through October 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 2024</w:t>
            </w:r>
          </w:p>
        </w:tc>
      </w:tr>
      <w:tr>
        <w:trPr/>
        <w:tc>
          <w:tcPr>
            <w:tcW w:w="1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4" w:type="dxa"/>
            <w:gridSpan w:val="21"/>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(475,350)</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(70,093)</w:t>
            </w:r>
          </w:p>
        </w:tc>
        <w:tc>
          <w:tcPr>
            <w:tcW w:w="6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(28,198)</w:t>
            </w:r>
          </w:p>
        </w:tc>
        <w:tc>
          <w:tcPr>
            <w:tcW w:w="6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(98,291)</w:t>
            </w:r>
          </w:p>
        </w:tc>
        <w:tc>
          <w:tcPr>
            <w:tcW w:w="6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expense, net</w:t>
            </w:r>
            <w:r>
              <w:rPr>
                <w:rFonts w:ascii="Times New Roman;serif" w:hAnsi="Times New Roman;serif"/>
                <w:b w:val="false"/>
                <w:color w:val="000000"/>
                <w:sz w:val="13"/>
              </w:rPr>
              <w:t>(1)</w:t>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11,173 </w:t>
            </w:r>
          </w:p>
        </w:tc>
        <w:tc>
          <w:tcPr>
            <w:tcW w:w="6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6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12,473 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5,455 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5,601 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(13,483)</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(3,282)</w:t>
            </w:r>
          </w:p>
        </w:tc>
        <w:tc>
          <w:tcPr>
            <w:tcW w:w="6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6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(2,850)</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EBITDA</w:t>
            </w:r>
          </w:p>
        </w:tc>
        <w:tc>
          <w:tcPr>
            <w:tcW w:w="13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(456,649)</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(56,747)</w:t>
            </w:r>
          </w:p>
        </w:tc>
        <w:tc>
          <w:tcPr>
            <w:tcW w:w="6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(26,320)</w:t>
            </w:r>
          </w:p>
        </w:tc>
        <w:tc>
          <w:tcPr>
            <w:tcW w:w="6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(83,067)</w:t>
            </w:r>
          </w:p>
        </w:tc>
        <w:tc>
          <w:tcPr>
            <w:tcW w:w="6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Transaction and other related costs</w:t>
            </w:r>
            <w:r>
              <w:rPr>
                <w:rFonts w:ascii="Times New Roman;serif" w:hAnsi="Times New Roman;serif"/>
                <w:b w:val="false"/>
                <w:color w:val="000000"/>
                <w:sz w:val="13"/>
              </w:rPr>
              <w:t>(2)</w:t>
            </w:r>
          </w:p>
        </w:tc>
        <w:tc>
          <w:tcPr>
            <w:tcW w:w="13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2,309 </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9,414 </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11,723 </w:t>
            </w:r>
          </w:p>
        </w:tc>
        <w:tc>
          <w:tcPr>
            <w:tcW w:w="6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Change in fair value of financial liabilities</w:t>
            </w:r>
            <w:r>
              <w:rPr>
                <w:rFonts w:ascii="Times New Roman;serif" w:hAnsi="Times New Roman;serif"/>
                <w:b w:val="false"/>
                <w:color w:val="000000"/>
                <w:sz w:val="13"/>
              </w:rPr>
              <w:t>(3)</w:t>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(16,146)</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20,946 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21,424 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Stock-based compensation</w:t>
            </w:r>
            <w:r>
              <w:rPr>
                <w:rFonts w:ascii="Times New Roman;serif" w:hAnsi="Times New Roman;serif"/>
                <w:b w:val="false"/>
                <w:color w:val="000000"/>
                <w:sz w:val="13"/>
              </w:rPr>
              <w:t>(4)</w:t>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16,338 </w:t>
            </w:r>
          </w:p>
        </w:tc>
        <w:tc>
          <w:tcPr>
            <w:tcW w:w="6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1,056 </w:t>
            </w:r>
          </w:p>
        </w:tc>
        <w:tc>
          <w:tcPr>
            <w:tcW w:w="6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17,394 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Goodwill impairment</w:t>
            </w:r>
            <w:r>
              <w:rPr>
                <w:rFonts w:ascii="Times New Roman;serif" w:hAnsi="Times New Roman;serif"/>
                <w:b w:val="false"/>
                <w:color w:val="000000"/>
                <w:sz w:val="13"/>
              </w:rPr>
              <w:t>(5)</w:t>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346,557 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Loss on extinguishment of debt</w:t>
            </w:r>
            <w:r>
              <w:rPr>
                <w:rFonts w:ascii="Times New Roman;serif" w:hAnsi="Times New Roman;serif"/>
                <w:b w:val="false"/>
                <w:color w:val="000000"/>
                <w:sz w:val="13"/>
              </w:rPr>
              <w:t>(6)</w:t>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Loss on extinguishment of related party debt</w:t>
            </w:r>
            <w:r>
              <w:rPr>
                <w:rFonts w:ascii="Times New Roman;serif" w:hAnsi="Times New Roman;serif"/>
                <w:b w:val="false"/>
                <w:color w:val="000000"/>
                <w:sz w:val="13"/>
              </w:rPr>
              <w:t>(7)</w:t>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conversion of promissory notes</w:t>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1,119 </w:t>
            </w:r>
          </w:p>
        </w:tc>
        <w:tc>
          <w:tcPr>
            <w:tcW w:w="6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137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(78,764)</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(17,154)</w:t>
            </w:r>
          </w:p>
        </w:tc>
        <w:tc>
          <w:tcPr>
            <w:tcW w:w="6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top w:val="single" w:sz="8" w:space="0" w:color="000000"/>
              <w:left w:val="single" w:sz="8" w:space="0" w:color="000000"/>
              <w:bottom w:val="double" w:sz="8" w:space="0" w:color="000000"/>
            </w:tcBorders>
            <w:shd w:fill="FFFF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(14,253)</w:t>
            </w:r>
          </w:p>
        </w:tc>
        <w:tc>
          <w:tcPr>
            <w:tcW w:w="6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(31,407)</w:t>
            </w:r>
          </w:p>
        </w:tc>
        <w:tc>
          <w:tcPr>
            <w:tcW w:w="6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(1) Interest expense, net – For the year ended December 31, 2025 and for the combined twelve months ended December 31, 2024, interest expense, net includes interest incurred on our various borrowing facilities and the amortization of debt issuance costs. Additional debt issuance cost associated with a loan commitment fee asset in the amount of $10,041 was written off in combined twelve months ended December 31, 2024 and has also been included in this adjustment. This amount is representative of the asset associated with the additional funds under the second and third tranches of the WTI Facility. When it became known that we would not be able to draw on these subsequent tranches based on certain metrics contained within the WTI Facility, we immediately wrote this asset off. </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(2) Transaction and other related costs – For the combined twelve months ended December 31, 2024 </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this is comprised entirely of consulting, legal, and other professional fees related to the Business Combination.</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(3) Change in fair value of financial liabilities – For the December 31, 2025, the change in fair value of financial liabilities primarily consists of the change in fair value of the warrant liability, the earnout liability and the embedded derivatives in various instruments. For the year ended December 31, 2024, this is comprised entirely of the change in fair value of the embedded derivative associated with the convertible notes.</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(4) Stock based compensation – For the December 31, 2025, stock based compensation primarily consisted of awards in the 2024 Equity and Incentive Plan entered into on October 2, 2024 subsequent to the Business Combination. These awards consisted of Stock Options, Restricted Stock Units, and Stock Appreciation Rights. Further, a portion of this expense was related to share-based payment employee incentive plans in existence at subsidiaries. Additional Stock Options were granted in February 2025 and additional Restricted Stock Units were granted in June 2025 and August 2025 which are included in the stock-based compensation caption for their respective periods. For the year ended December 31 2024, stock-based compensation was comprised wholly of share-based payment employee incentive plans in existence at Innventure LLC and other subsidiaries.</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(5) Goodwill impairment - For the year ended December 31, 2025, the Company recognized goodwill impairment due to sustained decreases in the Company’s publicly quoted share price and market capitalization, which were, at least in part, sensitive to the general downward volatility experienced in the stock market from late February 2025 through April 2025. The publicly quoted share price stabilized some in May 2025 and June 2025.</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(6) Loss on extinguishment of debt - For the December 31, 2025, the Company modified the WTI Facility, and such modification was accounted for as a debt extinguishment while no debt was repaid. </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(7) Loss on extinguishment of related party debt - For the December 31, 2025, the Company extinguished certain related party debts by issuing Series C Preferred Stock.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Liquidity and Capital Resources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discussed in more detail below, management has concluded that there is substantial doubt about our ability to continue as a going concern within one year after the date that these consolidated financial statements included in Item 1. of this Form 10-K were issued. The condensed consolidated financial statements have been prepared assuming that we will continue as a going concern and, accordingly, do not include any adjustments that might result from the outcome of this uncertainty.</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 xml:space="preserve">Sources of Liquidity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assessing liquidity, we monitor and analyze cash on hand and operating expenditure commitments. Our material liquidity requirements are from working capital requirements and operating expense obligations. To date we have financed our operations primarily through cash flows from investing and financing activities.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the components of our current liquidity (in thousands):</w:t>
      </w:r>
    </w:p>
    <w:tbl>
      <w:tblPr>
        <w:tblW w:w="5292" w:type="dxa"/>
        <w:jc w:val="left"/>
        <w:tblInd w:w="0" w:type="dxa"/>
        <w:tblLayout w:type="fixed"/>
        <w:tblCellMar>
          <w:top w:w="28" w:type="dxa"/>
          <w:left w:w="28" w:type="dxa"/>
          <w:bottom w:w="28" w:type="dxa"/>
          <w:right w:w="28" w:type="dxa"/>
        </w:tblCellMar>
      </w:tblPr>
      <w:tblGrid>
        <w:gridCol w:w="695"/>
        <w:gridCol w:w="611"/>
        <w:gridCol w:w="614"/>
        <w:gridCol w:w="309"/>
        <w:gridCol w:w="1019"/>
        <w:gridCol w:w="172"/>
        <w:gridCol w:w="109"/>
        <w:gridCol w:w="109"/>
        <w:gridCol w:w="109"/>
        <w:gridCol w:w="304"/>
        <w:gridCol w:w="1002"/>
        <w:gridCol w:w="239"/>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60,449 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11,119 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w:t>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5,000 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Working capital</w:t>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6,878 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(45,061)</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long-term future liquidity requirements will depend on many factors, including funding required by us and our Innventure Companies to (i) support the growth of the business and the current business strategy; (ii) fund working capital, capital expenditures and general corporate expenditures; and (iii) support other business opportunities and expenditures. As of December 31, 2025 and over the next 12 months, we anticipate that Innventure, Inc. will require at least $50.0 million to meet its operating and strategic needs, with an additional $25.0 million required to support growth across our Innventure Companies in accordance with our current business plan. We expect to meet these needs through a combination of cash on hand, operating cash flows, strategic investments, the SEPA with Yorkville (maximum remaining availability of approximately $66.6 million as of December 31, 2025, subject to the satisfaction of certain conditions in the SEPA and additional financings completed by us and our Innventure Companies. Summarized below are equity and debt financing activities made during the year ended December 31, 2025, and thereafter:</w:t>
      </w:r>
    </w:p>
    <w:p>
      <w:pPr>
        <w:pStyle w:val="TextBody"/>
        <w:bidi w:val="0"/>
        <w:spacing w:lineRule="auto" w:line="288" w:before="0" w:after="18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Equity Financing Activities: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The Company entered into the SEPA with Yorkville in October 2023, which provides the Company the right, but not the obligation, to sell to Yorkville up to $75.0 million in the Company’s common stock, par value $0.0001 per share (“Common Stock”) from time to time through November 2027 (of which approximately $66.6 million in Common Stock remains available for issuance under the SEPA), subject to the satisfaction of certain conditions in the SEPA. During the year ended December 31, 2025, the Company issued 997,573 shares of Common Stock pursuant to the SEPA in payment of $4.9 million of principal and $0.2 million of payment premiums for the Convertible Debentures. In addition to the Common Stock issuances pursuant to the SEPA made in repayment towards the Convertible Debentures, the Company sold 1,071,566 shares of Common Stock under the SEPA, raising $6.1 million in cash proceeds.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Accelsius raised a total of $7.1 million through the issuance of Accelsius Series A Preferred units during the year ended December 31, 2025.</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Company issued 2,885,848 shares of Series C Preferred Stock on March 24, 2025 for a total amount of $28.8 million, with the consideration received in the form of cash, services, and related party debt cancellation.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Accelsius raised $25.0 million on October 2, 2025 through the issuance of 685,163 Accelsius Series B-1 units (“Series B-1 Units”) to Johnson Controls, Inc. (“JCI”). $7.3 million of debt converted to equity in the form of 251,452 Series B-2 units and 125,725 B-2 Warrants in conjunction with the issuance of Series B-1 units by Accelsius.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Company raised $9.8 million on October 3, 2025 through a private placement by issuing 1,625,235 shares of Common Stock at $6.00 per share and Series A warrants to purchase 1,625,235 shares of Common Stock.</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On December 29, 2025, Accelsius issued and sold 822,195 Series B-1 Units to Legrand DPC, LLC, (“</w:t>
      </w:r>
      <w:r>
        <w:rPr>
          <w:rFonts w:ascii="Times New Roman;serif" w:hAnsi="Times New Roman;serif"/>
          <w:b/>
          <w:i/>
          <w:color w:val="000000"/>
          <w:sz w:val="20"/>
        </w:rPr>
        <w:t>Legrand</w:t>
      </w:r>
      <w:r>
        <w:rPr>
          <w:color w:val="000000"/>
        </w:rPr>
        <w:t>”</w:t>
      </w:r>
      <w:r>
        <w:rPr>
          <w:rFonts w:ascii="Times New Roman;serif" w:hAnsi="Times New Roman;serif"/>
          <w:b w:val="false"/>
          <w:color w:val="000000"/>
          <w:sz w:val="20"/>
        </w:rPr>
        <w:t xml:space="preserve">), for approximately $30.0 million, before deducting financial advisor fees and other estimated offering expenses. Additionally, Accelsius issued and sold to JCI an additional 274,065 units of the Series B-1 Units for gross proceeds of approximately $10.0 million.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On January 12, 2026, the Company entered into securities purchase agreements with four institutional investors for the purchase and sale of 11,428,572 shares of Common Stock for gross proceeds of approximately $40.0 million, before deducting placement agent fees and offering expenses.</w:t>
      </w:r>
    </w:p>
    <w:p>
      <w:pPr>
        <w:pStyle w:val="TextBody"/>
        <w:bidi w:val="0"/>
        <w:spacing w:lineRule="auto" w:line="288" w:before="0" w:after="18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Debt Financing Activities: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The Company issued $30.0 million in Convertible Debentures in April and May 2025, split between two tranches. The Company received $18.0 million and $9.0 million in cash proceeds for the first and second tranche, respectively. In connection with the issuance of the Convertible Debentures, the Company issued two warrants (the “2025 WTI Warrants”) to purchase, at a price of $0.01 per share (subject to certain limitations and adjustment), up to an aggregate total of 495,074 shares of Common Stock (subject to future adjustments to the number and type of shares pursuant to the 2025 WTI Warrants), to WTI Fund X, LLC and WTI Fund XI, LLC, exercisable through March 31, 2035.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Accelsius entered into unsecured convertible notes (“Related Party Term Convertible Notes”) with certain investors deemed to be Related Parties (as defined in the Company’s Related Party Transactions Policy) for a total principal amount of $4.2 million in June 2025. The Related Party Term Convertible Notes are convertible into Series A Units of Accelsius and have a maturity date of December 31, 2026.</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Accelsius entered into an unsecured Convertible Promissory Note (“CPN”) with a related party lender in June 2025 that is drawable in three tranches with 15% interest and an immaterial loan fee. On October 8, 2025, the Company repaid the CPN in full due to its related party, amounting to $2.0 million in principal and $0.1 million in interest and loan fees, for a total of $2.1 million.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Accelsius issued unsecured convertible notes with various other parties for a total principal amount of $7.8 million in June and July of 2025 that are convertible into Series A Units of Accelsius starting January 2026.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Accelsius entered into unsecured convertible promissory notes totaling $9.2 million in principal between August 12, 2025 and September 19, 2025, with $7.3 million in cash proceeds received by December 31, 2025.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Company entered into the Securities Purchase Agreement with Yorkville on September 15, 2025 to issue convertible debentures (the “New Convertible Debentures”). Of the $15.0 million authorized, one tranche totaling $10.0 million was issued before September 30, 2025 totaling $9.0 million in cash proceeds. On November 12, 2025, the Company issued an additional tranche of the New Convertible Debentures for $5.0 million, totaling $4.5 million in cash proceeds.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Pursuant to the Fifth Amendment to Loan and Security Agreement between Innventure LLC and Accelsius, on September 18, 2025 the Company elected to convert $0.5 million of accrued interest outstanding into 45,159 Series A Units of Accelsius.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All convertible notes are subordinated to the WTI Facility and other debt of the Company owed to the WTI Lenders, and the holders of the convertible notes have agreed not to demand repayment while senior obligations remain outstanding.</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Cash flows associated with operating, investing and financing activities are summarized as follows (in thousands):</w:t>
      </w:r>
    </w:p>
    <w:tbl>
      <w:tblPr>
        <w:tblW w:w="10205" w:type="dxa"/>
        <w:jc w:val="left"/>
        <w:tblInd w:w="0" w:type="dxa"/>
        <w:tblLayout w:type="fixed"/>
        <w:tblCellMar>
          <w:top w:w="28" w:type="dxa"/>
          <w:left w:w="28" w:type="dxa"/>
          <w:bottom w:w="28" w:type="dxa"/>
          <w:right w:w="28" w:type="dxa"/>
        </w:tblCellMar>
      </w:tblPr>
      <w:tblGrid>
        <w:gridCol w:w="620"/>
        <w:gridCol w:w="454"/>
        <w:gridCol w:w="456"/>
        <w:gridCol w:w="234"/>
        <w:gridCol w:w="812"/>
        <w:gridCol w:w="130"/>
        <w:gridCol w:w="109"/>
        <w:gridCol w:w="109"/>
        <w:gridCol w:w="109"/>
        <w:gridCol w:w="262"/>
        <w:gridCol w:w="912"/>
        <w:gridCol w:w="145"/>
        <w:gridCol w:w="109"/>
        <w:gridCol w:w="109"/>
        <w:gridCol w:w="109"/>
        <w:gridCol w:w="256"/>
        <w:gridCol w:w="892"/>
        <w:gridCol w:w="142"/>
        <w:gridCol w:w="109"/>
        <w:gridCol w:w="109"/>
        <w:gridCol w:w="109"/>
        <w:gridCol w:w="233"/>
        <w:gridCol w:w="809"/>
        <w:gridCol w:w="130"/>
        <w:gridCol w:w="109"/>
        <w:gridCol w:w="109"/>
        <w:gridCol w:w="109"/>
        <w:gridCol w:w="196"/>
        <w:gridCol w:w="669"/>
        <w:gridCol w:w="109"/>
        <w:gridCol w:w="109"/>
        <w:gridCol w:w="109"/>
        <w:gridCol w:w="109"/>
        <w:gridCol w:w="289"/>
        <w:gridCol w:w="290"/>
        <w:gridCol w:w="530"/>
      </w:tblGrid>
      <w:tr>
        <w:trPr/>
        <w:tc>
          <w:tcPr>
            <w:tcW w:w="620"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Predecessor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S/P Combined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October 2, 2024 through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January 1, 2024 through October 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Year ended December 31, 2024</w:t>
            </w:r>
          </w:p>
        </w:tc>
        <w:tc>
          <w:tcPr>
            <w:tcW w:w="327"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5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Operating Activities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(80,683)</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(29,214)</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(18,848)</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(48,062)</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(32,621)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67.9 </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Investing Activities</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(4,125)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6,822 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(5,957)</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865 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(576.9)</w:t>
            </w:r>
          </w:p>
        </w:tc>
        <w:tc>
          <w:tcPr>
            <w:tcW w:w="5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Financing Activities</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139,138 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33,466 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38,441 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71,907 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93.5 </w:t>
            </w:r>
          </w:p>
        </w:tc>
        <w:tc>
          <w:tcPr>
            <w:tcW w:w="5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Increase (Decrease) in Cash, Cash Equivalents and Restricted Cash</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54,330 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11,074 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13,636 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24,710 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29,620 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119.9 </w:t>
            </w:r>
          </w:p>
        </w:tc>
        <w:tc>
          <w:tcPr>
            <w:tcW w:w="5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120" w:after="12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Net Cash Used in Operating Activities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Cash flows used in operating activities were $80.7 million for the year ended December 31, 2025, as compared to $48.1 million for the year ended December 31, 2024, an increase of $32.6 million, or 67.9%. The increase is primarily related to working capital impacts and increases in operating losses.</w:t>
      </w:r>
    </w:p>
    <w:p>
      <w:pPr>
        <w:pStyle w:val="TextBody"/>
        <w:bidi w:val="0"/>
        <w:spacing w:lineRule="auto" w:line="288" w:before="120" w:after="12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Net Cash Provided (Used in) by Investing Activities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Cash flows used in investing activities were $4.1 million for the combined year ended December 31, 2025, as compared to cash flows provided by investing activities of $0.9 million for the year ended December 31, 2024, a change of $5.0 million. The increase is primarily related to lower investments in debt securities and advances to our related parties, partially offset by reduced proceeds from sales of investments.</w:t>
      </w:r>
    </w:p>
    <w:p>
      <w:pPr>
        <w:pStyle w:val="TextBody"/>
        <w:bidi w:val="0"/>
        <w:spacing w:lineRule="auto" w:line="288" w:before="120" w:after="12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Net Cash Provided by Financing Activities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Cash flows provided by financing activities were $139.1 million for the year ended December 31, 2025, as compared to $71.9 million for the year ended December 31, 2024, an increase of $67.2 million or 93.5%. The increase is primarily related to proceeds from issuance of equity and debt financing.</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Indebtedness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Refer to Note 5. Borrowings to our consolidated financial statements for the years ended December 31, 2025 and 2024 included in Item 8 of this Form 10-K for a discussion of our indebtedness.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Contractual Obligations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our contractual obligations, including payments due by period, as of December 31, 2025:</w:t>
      </w:r>
    </w:p>
    <w:tbl>
      <w:tblPr>
        <w:tblW w:w="10205" w:type="dxa"/>
        <w:jc w:val="left"/>
        <w:tblInd w:w="0" w:type="dxa"/>
        <w:tblLayout w:type="fixed"/>
        <w:tblCellMar>
          <w:top w:w="28" w:type="dxa"/>
          <w:left w:w="28" w:type="dxa"/>
          <w:bottom w:w="28" w:type="dxa"/>
          <w:right w:w="28" w:type="dxa"/>
        </w:tblCellMar>
      </w:tblPr>
      <w:tblGrid>
        <w:gridCol w:w="972"/>
        <w:gridCol w:w="838"/>
        <w:gridCol w:w="843"/>
        <w:gridCol w:w="211"/>
        <w:gridCol w:w="736"/>
        <w:gridCol w:w="109"/>
        <w:gridCol w:w="109"/>
        <w:gridCol w:w="109"/>
        <w:gridCol w:w="109"/>
        <w:gridCol w:w="211"/>
        <w:gridCol w:w="736"/>
        <w:gridCol w:w="109"/>
        <w:gridCol w:w="109"/>
        <w:gridCol w:w="109"/>
        <w:gridCol w:w="109"/>
        <w:gridCol w:w="211"/>
        <w:gridCol w:w="631"/>
        <w:gridCol w:w="109"/>
        <w:gridCol w:w="109"/>
        <w:gridCol w:w="109"/>
        <w:gridCol w:w="109"/>
        <w:gridCol w:w="211"/>
        <w:gridCol w:w="481"/>
        <w:gridCol w:w="109"/>
        <w:gridCol w:w="109"/>
        <w:gridCol w:w="109"/>
        <w:gridCol w:w="109"/>
        <w:gridCol w:w="211"/>
        <w:gridCol w:w="631"/>
        <w:gridCol w:w="109"/>
        <w:gridCol w:w="109"/>
        <w:gridCol w:w="109"/>
        <w:gridCol w:w="109"/>
        <w:gridCol w:w="211"/>
        <w:gridCol w:w="736"/>
        <w:gridCol w:w="155"/>
      </w:tblGrid>
      <w:tr>
        <w:trPr/>
        <w:tc>
          <w:tcPr>
            <w:tcW w:w="972"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6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Debt obligations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37,356 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future installments payable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14,239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25,802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1,053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825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9,900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51,819</w:t>
            </w:r>
            <w:r>
              <w:rPr>
                <w:color w:val="000000"/>
              </w:rPr>
              <w:t>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Going Concern</w:t>
      </w:r>
    </w:p>
    <w:p>
      <w:pPr>
        <w:pStyle w:val="TextBody"/>
        <w:bidi w:val="0"/>
        <w:spacing w:lineRule="auto" w:line="288" w:before="120" w:after="120"/>
        <w:ind w:left="0" w:right="0" w:firstLine="720"/>
        <w:jc w:val="both"/>
        <w:rPr/>
      </w:pPr>
      <w:r>
        <w:rPr>
          <w:rFonts w:ascii="Times New Roman;serif" w:hAnsi="Times New Roman;serif"/>
          <w:b w:val="false"/>
          <w:color w:val="000000"/>
          <w:sz w:val="20"/>
        </w:rPr>
        <w:t>We have experienced recurring losses from operations and negative cash flows from operating activities. In addition, we and our Innventure Companies continue to have an ongoing need to raise additional cash from outside sources to sustain our and our Innventure Companies’ operations and fund our and their growth plans. In connection with our assessment of going concern considerations in accordance with Financial Accounting Standard Board’s Accounting Standards Update 2014-15, “</w:t>
      </w:r>
      <w:r>
        <w:rPr>
          <w:rFonts w:ascii="Times New Roman;serif" w:hAnsi="Times New Roman;serif"/>
          <w:b w:val="false"/>
          <w:i/>
          <w:color w:val="000000"/>
          <w:sz w:val="20"/>
        </w:rPr>
        <w:t>Disclosures of Uncertainties about an Entity’s Ability to Continue as a Going Concern</w:t>
      </w:r>
      <w:r>
        <w:rPr>
          <w:rFonts w:ascii="Times New Roman;serif" w:hAnsi="Times New Roman;serif"/>
          <w:b w:val="false"/>
          <w:color w:val="000000"/>
          <w:sz w:val="20"/>
        </w:rPr>
        <w:t xml:space="preserve">,” management has determined that these conditions raise substantial doubt about our ability to continue as a going concern within one year after the date of the consolidated financial statements included in Item 8 of this Form 10-K. If we are unable to obtain adequate capital from public or private equity or debt financing or otherwise generate sufficient revenues from our Innventure Companies to support our cost structure within the normal operating cycle of a twelve (12) month period, we may have to implement additional cost reduction measures or adjust the timing or scope of certain operations at Innventure or certain Innventure Companies, in part or in full, to help manage liquidity. If we raise additional funds through the issuance of additional debt or equity securities (at either the Innventure or Innventure Company level), it could result in substantial dilution to our existing stockholders and increase fixed payment obligations, and these securities may have rights senior to those of our Common Stock. See “Item 1A. Risk Factors – Risk Related to Innventure’s Business – There is uncertainty regarding Innventure’s ability to maintain liquidity sufficient to operate its business effectively, which raises substantial doubt about its ability to continue as a going concern.” </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can make no assurances that required financings will be available for the amounts needed, or on terms commercially acceptable to us, if at all. If subsequent capital raises or revenues from operations at the Innventure Companies are insufficient to bridge financial and liquidity shortfalls (or both), there would likely be a material adverse effect on our business and financial condition that would materially adversely affect our ability to continue as a going concern. </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consolidated financial statements have been prepared assuming that we will continue as a going concern and, accordingly, do not include any adjustments that might result from the outcome of this uncertainty.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Critical Accounting Policies and Use of Estimates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consolidated financial statements have been prepared in conformity with GAAP. In preparation of these consolidated financial statements, our management is required to use judgment in making estimates and assumptions that affect the reported amounts of assets and liabilities and the disclosure of contingent assets and liabilities as of the date of the consolidated financial statements, as well as the reported expenses incurred during the reporting periods. Management considers an accounting judgment, estimate, or assumption to be critical when (1) the estimate or assumption is complex in nature or requires a high degree of judgment and (2) the use of different judgments, estimates, and assumptions could have a material impact on the consolidated financial statements. Our significant accounting policies are described in Note 2. Accounting Policies to the consolidated financial statements included in Item 8 of this Annual Report on Form 10-K for further information.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preparation of these consolidated financial statements, management applied critical estimates and assumptions while determining the carrying value of our equity method investments and fair value measurements, and while performing impairment assessments on long-lived assets and goodwill. Accordingly, actual results could differ from those estimates.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Fair Value Measurement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measure certain financial instruments at fair value on a recurring and nonrecurring basis, consisting primarily of our investment in debt securities and warrants. The investments in debt securities are accounted for on an as-converted basis using a Black-Scholes model and the warrants are accounted for using a Monte Carlo valuation. Adjustments to fair value require quantitative assessments according to a hierarchy that prioritizes the inputs to valuation techniques measure fair value and requires an entity to maximize the use of observable inputs and minimize the use of unobservable inputs. The Company categorizes each of its fair value measurements in one of these three levels based on the lowest level input that is significant to the fair value measurement in its entirety. These levels are: </w:t>
      </w:r>
    </w:p>
    <w:p>
      <w:pPr>
        <w:pStyle w:val="TextBody"/>
        <w:bidi w:val="0"/>
        <w:spacing w:lineRule="auto" w:line="288" w:before="120" w:after="120"/>
        <w:ind w:left="0" w:right="0" w:firstLine="360"/>
        <w:jc w:val="both"/>
        <w:rPr/>
      </w:pPr>
      <w:r>
        <w:rPr>
          <w:rFonts w:ascii="Times New Roman;serif" w:hAnsi="Times New Roman;serif"/>
          <w:b/>
          <w:color w:val="000000"/>
          <w:sz w:val="20"/>
        </w:rPr>
        <w:t>Level 1</w:t>
      </w:r>
      <w:r>
        <w:rPr>
          <w:color w:val="000000"/>
        </w:rPr>
        <w:t xml:space="preserve"> – </w:t>
      </w:r>
      <w:r>
        <w:rPr>
          <w:rFonts w:ascii="Times New Roman;serif" w:hAnsi="Times New Roman;serif"/>
          <w:b w:val="false"/>
          <w:color w:val="000000"/>
          <w:sz w:val="20"/>
        </w:rPr>
        <w:t>Quoted prices in active markets for identical assets or liabilities.</w:t>
      </w:r>
    </w:p>
    <w:p>
      <w:pPr>
        <w:pStyle w:val="TextBody"/>
        <w:bidi w:val="0"/>
        <w:spacing w:lineRule="auto" w:line="288" w:before="120" w:after="120"/>
        <w:jc w:val="both"/>
        <w:rPr/>
      </w:pPr>
      <w:r>
        <w:rPr>
          <w:rFonts w:ascii="Times New Roman;serif" w:hAnsi="Times New Roman;serif"/>
          <w:b/>
          <w:color w:val="000000"/>
          <w:sz w:val="20"/>
        </w:rPr>
        <w:t>Level 2</w:t>
      </w:r>
      <w:r>
        <w:rPr>
          <w:color w:val="000000"/>
        </w:rPr>
        <w:t xml:space="preserve"> – </w:t>
      </w:r>
      <w:r>
        <w:rPr>
          <w:rFonts w:ascii="Times New Roman;serif" w:hAnsi="Times New Roman;serif"/>
          <w:b w:val="false"/>
          <w:color w:val="000000"/>
          <w:sz w:val="20"/>
        </w:rPr>
        <w:t>Observable inputs other than quoted prices in Level 1, such as quoted prices for similar assets or liabilities in active markets; quoted prices in markets that are not active; or other inputs that are observable or can be corroborated by observable market data.</w:t>
      </w:r>
    </w:p>
    <w:p>
      <w:pPr>
        <w:pStyle w:val="TextBody"/>
        <w:bidi w:val="0"/>
        <w:spacing w:lineRule="auto" w:line="288" w:before="120" w:after="120"/>
        <w:jc w:val="both"/>
        <w:rPr/>
      </w:pPr>
      <w:r>
        <w:rPr>
          <w:rFonts w:ascii="Times New Roman;serif" w:hAnsi="Times New Roman;serif"/>
          <w:b/>
          <w:color w:val="000000"/>
          <w:sz w:val="20"/>
        </w:rPr>
        <w:t>Level 3</w:t>
      </w:r>
      <w:r>
        <w:rPr>
          <w:color w:val="000000"/>
        </w:rPr>
        <w:t xml:space="preserve"> – </w:t>
      </w:r>
      <w:r>
        <w:rPr>
          <w:rFonts w:ascii="Times New Roman;serif" w:hAnsi="Times New Roman;serif"/>
          <w:b w:val="false"/>
          <w:color w:val="000000"/>
          <w:sz w:val="20"/>
        </w:rPr>
        <w:t xml:space="preserve">Unobservable inputs that are supported by little or no market activity and reflect management’s best estimate of what market participants would use in pricing the asset or liability. Consideration is given to the risk inherent in the valuation technique and the risk inherent in the inputs to the model. </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Equity Method Investments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carrying value of our equity method investments is determined based on amounts invested by the Company, adjusted for the Company’s share in the earnings or losses of each investee, after consideration of contractual arrangements that govern allocations of income or loss, less distributions received. For investments where the specified allocations of income or loss are different from the allocation of cash from operations and on liquidation, the Company utilizes the hypothetical liquidation book value method to allocate income or loss from the equity method investment. The Company evaluates its equity method investments for impairment whenever events or changes in circumstances indicate that the carrying amounts of such investments may not be recoverable. </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Goodwill Impairment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Goodwill is allocated at the date the goodwill is initially recorded. We have one operating segment and reporting unit, and evaluate goodwill for impairment as one singular reporting unit. We evaluate our goodwill for impairment annually at the beginning of the fourth quarter or earlier upon the occurrence of a triggering event, such as substantive unfavorable changes in economic conditions, industry trends, costs, cash flows, or ongoing declines in market capitalization. Goodwill impairment testing was performed using the income approach via a discounted cash flow model. The income approach estimates fair value by converting future cash flows to a current amount on the measurement date after taking into consideration marketplace conditions. Assumptions including discount rate and estimated future cash flows had a significant impact to the estimated fair value of the reporting unit.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120" w:after="12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7A. Quantitative and Qualitative Disclosures About Market Risk.</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a smaller reporting company, as defined in Rule 12b-2 under the Exchange Act, for this reporting period and are not required to provide the information required under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0" w:after="180"/>
        <w:jc w:val="left"/>
        <w:rPr/>
      </w:pPr>
      <w:r>
        <w:rPr>
          <w:rFonts w:ascii="Times New Roman;serif" w:hAnsi="Times New Roman;serif"/>
          <w:b/>
          <w:color w:val="000000"/>
          <w:sz w:val="20"/>
        </w:rPr>
        <w:t>Item 8. FINANCIAL STATEMENTS AND SUPPLEMENTARY DATA</w:t>
      </w:r>
      <w:r>
        <w:rPr>
          <w:color w:val="000000"/>
        </w:rPr>
        <w:t xml:space="preserve"> </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542"/>
        <w:gridCol w:w="3010"/>
        <w:gridCol w:w="3020"/>
        <w:gridCol w:w="184"/>
        <w:gridCol w:w="184"/>
        <w:gridCol w:w="265"/>
      </w:tblGrid>
      <w:tr>
        <w:trPr/>
        <w:tc>
          <w:tcPr>
            <w:tcW w:w="3542" w:type="dxa"/>
            <w:tcBorders/>
            <w:vAlign w:val="center"/>
          </w:tcPr>
          <w:p>
            <w:pPr>
              <w:pStyle w:val="TableContents"/>
              <w:bidi w:val="0"/>
              <w:spacing w:before="0" w:after="283"/>
              <w:jc w:val="left"/>
              <w:rPr>
                <w:sz w:val="4"/>
                <w:szCs w:val="4"/>
              </w:rPr>
            </w:pPr>
            <w:r>
              <w:rPr>
                <w:sz w:val="4"/>
                <w:szCs w:val="4"/>
              </w:rPr>
            </w:r>
          </w:p>
        </w:tc>
        <w:tc>
          <w:tcPr>
            <w:tcW w:w="3010" w:type="dxa"/>
            <w:tcBorders/>
            <w:vAlign w:val="center"/>
          </w:tcPr>
          <w:p>
            <w:pPr>
              <w:pStyle w:val="TableContents"/>
              <w:bidi w:val="0"/>
              <w:spacing w:before="0" w:after="283"/>
              <w:jc w:val="left"/>
              <w:rPr>
                <w:sz w:val="4"/>
                <w:szCs w:val="4"/>
              </w:rPr>
            </w:pPr>
            <w:r>
              <w:rPr>
                <w:sz w:val="4"/>
                <w:szCs w:val="4"/>
              </w:rPr>
            </w:r>
          </w:p>
        </w:tc>
        <w:tc>
          <w:tcPr>
            <w:tcW w:w="302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95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Consolidated Financial Statements</w:t>
            </w:r>
          </w:p>
        </w:tc>
        <w:tc>
          <w:tcPr>
            <w:tcW w:w="63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Page No.</w:t>
            </w:r>
          </w:p>
        </w:tc>
      </w:tr>
      <w:tr>
        <w:trPr/>
        <w:tc>
          <w:tcPr>
            <w:tcW w:w="9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Report of Independent Registered Public Accounting Firm (WithumSmith+Brown, PC;PCAOB ID #100</w:t>
            </w:r>
          </w:p>
        </w:tc>
        <w:tc>
          <w:tcPr>
            <w:tcW w:w="63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7f7219d73d42a58f688d408612ee40_1452">
              <w:r>
                <w:rPr>
                  <w:rStyle w:val="InternetLink"/>
                  <w:rFonts w:ascii="Times New Roman;serif" w:hAnsi="Times New Roman;serif"/>
                  <w:b w:val="false"/>
                  <w:strike w:val="false"/>
                  <w:dstrike w:val="false"/>
                  <w:color w:val="000000"/>
                  <w:sz w:val="20"/>
                  <w:u w:val="none"/>
                  <w:effect w:val="none"/>
                </w:rPr>
                <w:t>63</w:t>
              </w:r>
            </w:hyperlink>
          </w:p>
        </w:tc>
      </w:tr>
      <w:tr>
        <w:trPr/>
        <w:tc>
          <w:tcPr>
            <w:tcW w:w="95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Report of Independent Registered Public Accounting Firm (BDO USA, P.C.; PCAOB ID#243)</w:t>
            </w:r>
          </w:p>
        </w:tc>
        <w:tc>
          <w:tcPr>
            <w:tcW w:w="63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7f7219d73d42a58f688d408612ee40_73">
              <w:r>
                <w:rPr>
                  <w:rStyle w:val="InternetLink"/>
                  <w:rFonts w:ascii="Times New Roman;serif" w:hAnsi="Times New Roman;serif"/>
                  <w:b w:val="false"/>
                  <w:strike w:val="false"/>
                  <w:dstrike w:val="false"/>
                  <w:color w:val="000000"/>
                  <w:sz w:val="20"/>
                  <w:u w:val="none"/>
                  <w:effect w:val="none"/>
                </w:rPr>
                <w:t>64</w:t>
              </w:r>
            </w:hyperlink>
          </w:p>
        </w:tc>
      </w:tr>
      <w:tr>
        <w:trPr/>
        <w:tc>
          <w:tcPr>
            <w:tcW w:w="95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Balance Sheets as of December 31, 2025 and 2024</w:t>
            </w:r>
          </w:p>
        </w:tc>
        <w:tc>
          <w:tcPr>
            <w:tcW w:w="63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7f7219d73d42a58f688d408612ee40_76">
              <w:r>
                <w:rPr>
                  <w:rStyle w:val="InternetLink"/>
                  <w:rFonts w:ascii="Times New Roman;serif" w:hAnsi="Times New Roman;serif"/>
                  <w:b w:val="false"/>
                  <w:strike w:val="false"/>
                  <w:dstrike w:val="false"/>
                  <w:color w:val="000000"/>
                  <w:sz w:val="20"/>
                  <w:u w:val="none"/>
                  <w:effect w:val="none"/>
                </w:rPr>
                <w:t>65</w:t>
              </w:r>
            </w:hyperlink>
          </w:p>
        </w:tc>
      </w:tr>
      <w:tr>
        <w:trPr/>
        <w:tc>
          <w:tcPr>
            <w:tcW w:w="95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Statements of Operations and Comprehensive Income (Loss) for the year ended December 31, 2025 (Successor), the period October 2, 2024 through December 31, 2024 (Successor), and the period January 1, 2024 through October 1, 2024 (Predecessor).</w:t>
            </w:r>
          </w:p>
        </w:tc>
        <w:tc>
          <w:tcPr>
            <w:tcW w:w="63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7f7219d73d42a58f688d408612ee40_79">
              <w:r>
                <w:rPr>
                  <w:rStyle w:val="InternetLink"/>
                  <w:rFonts w:ascii="Times New Roman;serif" w:hAnsi="Times New Roman;serif"/>
                  <w:b w:val="false"/>
                  <w:strike w:val="false"/>
                  <w:dstrike w:val="false"/>
                  <w:color w:val="000000"/>
                  <w:sz w:val="20"/>
                  <w:u w:val="none"/>
                  <w:effect w:val="none"/>
                </w:rPr>
                <w:t>66</w:t>
              </w:r>
            </w:hyperlink>
          </w:p>
        </w:tc>
      </w:tr>
      <w:tr>
        <w:trPr/>
        <w:tc>
          <w:tcPr>
            <w:tcW w:w="95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Statement of Changes in Mezzanine Capital for the period January 1, 2024 through October 1, 2024 (Predecessor).</w:t>
            </w:r>
          </w:p>
        </w:tc>
        <w:tc>
          <w:tcPr>
            <w:tcW w:w="63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7f7219d73d42a58f688d408612ee40_82">
              <w:r>
                <w:rPr>
                  <w:rStyle w:val="InternetLink"/>
                  <w:rFonts w:ascii="Times New Roman;serif" w:hAnsi="Times New Roman;serif"/>
                  <w:b w:val="false"/>
                  <w:strike w:val="false"/>
                  <w:dstrike w:val="false"/>
                  <w:color w:val="000000"/>
                  <w:sz w:val="20"/>
                  <w:u w:val="none"/>
                  <w:effect w:val="none"/>
                </w:rPr>
                <w:t>67</w:t>
              </w:r>
            </w:hyperlink>
          </w:p>
        </w:tc>
      </w:tr>
      <w:tr>
        <w:trPr/>
        <w:tc>
          <w:tcPr>
            <w:tcW w:w="95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Statement of Changes in Stockholders’ Equity for the year ended December 31, 2025 (Successor), the period October 2, 2024 through December 31, 2024 (Successor), and the period January 1, 2024 through October 1, 2024 (Predecessor).</w:t>
            </w:r>
          </w:p>
        </w:tc>
        <w:tc>
          <w:tcPr>
            <w:tcW w:w="63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7f7219d73d42a58f688d408612ee40_85">
              <w:r>
                <w:rPr>
                  <w:rStyle w:val="InternetLink"/>
                  <w:rFonts w:ascii="Times New Roman;serif" w:hAnsi="Times New Roman;serif"/>
                  <w:b w:val="false"/>
                  <w:strike w:val="false"/>
                  <w:dstrike w:val="false"/>
                  <w:color w:val="000000"/>
                  <w:sz w:val="20"/>
                  <w:u w:val="none"/>
                  <w:effect w:val="none"/>
                </w:rPr>
                <w:t>70</w:t>
              </w:r>
            </w:hyperlink>
          </w:p>
        </w:tc>
      </w:tr>
      <w:tr>
        <w:trPr/>
        <w:tc>
          <w:tcPr>
            <w:tcW w:w="95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Statements of Cash Flows for the year ended December 31, 2025 (Successor), the period October 2, 2024 through December 31, 2024 (Successor), and the period January 1, 2024 through October 1, 2024 (Predecessor).</w:t>
            </w:r>
          </w:p>
        </w:tc>
        <w:tc>
          <w:tcPr>
            <w:tcW w:w="63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7f7219d73d42a58f688d408612ee40_91">
              <w:r>
                <w:rPr>
                  <w:rStyle w:val="InternetLink"/>
                  <w:rFonts w:ascii="Times New Roman;serif" w:hAnsi="Times New Roman;serif"/>
                  <w:b w:val="false"/>
                  <w:strike w:val="false"/>
                  <w:dstrike w:val="false"/>
                  <w:color w:val="000000"/>
                  <w:sz w:val="20"/>
                  <w:u w:val="none"/>
                  <w:effect w:val="none"/>
                </w:rPr>
                <w:t>72</w:t>
              </w:r>
            </w:hyperlink>
          </w:p>
        </w:tc>
      </w:tr>
      <w:tr>
        <w:trPr/>
        <w:tc>
          <w:tcPr>
            <w:tcW w:w="95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tc>
        <w:tc>
          <w:tcPr>
            <w:tcW w:w="63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07f7219d73d42a58f688d408612ee40_94">
              <w:r>
                <w:rPr>
                  <w:rStyle w:val="InternetLink"/>
                  <w:rFonts w:ascii="Times New Roman;serif" w:hAnsi="Times New Roman;serif"/>
                  <w:b w:val="false"/>
                  <w:strike w:val="false"/>
                  <w:dstrike w:val="false"/>
                  <w:color w:val="000000"/>
                  <w:sz w:val="20"/>
                  <w:u w:val="none"/>
                  <w:effect w:val="none"/>
                </w:rPr>
                <w:t>74</w:t>
              </w:r>
            </w:hyperlink>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REPORT OF INDEPENDENT REGISTERED PUBLIC ACCOUNTING FIRM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To the Board of Directors and Stockholders of</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Innventure, Inc.:</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Opinion on the Consolidated Financial Statements</w:t>
      </w:r>
    </w:p>
    <w:p>
      <w:pPr>
        <w:pStyle w:val="TextBody"/>
        <w:bidi w:val="0"/>
        <w:spacing w:lineRule="auto" w:line="288" w:before="120" w:after="120"/>
        <w:jc w:val="both"/>
        <w:rPr/>
      </w:pPr>
      <w:r>
        <w:rPr>
          <w:rFonts w:ascii="Times New Roman;serif" w:hAnsi="Times New Roman;serif"/>
          <w:b w:val="false"/>
          <w:color w:val="000000"/>
          <w:sz w:val="20"/>
        </w:rPr>
        <w:t>We have audited the accompanying consolidated balance sheet of Innventure, Inc. and subsidiaries (the “Company”) as of December 31, 2025, and the related consolidated statements of operations and comprehensive income (loss), changes in stockholders’ equity, and cash flows for the year ended December 31, 2025, and the related notes (collectively referred to as the "consolidated financial statements"). In our opinion, the consolidated financial statements present fairly, in all material respects, the financial position of the Company as of December</w:t>
      </w:r>
      <w:r>
        <w:rPr>
          <w:color w:val="000000"/>
        </w:rPr>
        <w:t xml:space="preserve"> </w:t>
      </w:r>
      <w:r>
        <w:rPr>
          <w:rFonts w:ascii="Times New Roman;serif" w:hAnsi="Times New Roman;serif"/>
          <w:b w:val="false"/>
          <w:color w:val="000000"/>
          <w:sz w:val="20"/>
        </w:rPr>
        <w:t>31, 2025, and the results of its operations and its cash flows for the year ended December 31, 2025, in conformity with accounting principles generally accepted in the United States of America.</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Going Concern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accompanying consolidated financial statements have been prepared assuming that the Company will continue as a going concern. As discussed in Note 2 to the consolidated financial statements, the Company has incurred operating losses since inception and, as of December 31, 2025, had both an accumulated deficit and working capital deficit, which raise substantial doubt about its ability to continue as a going concern. Management's plans in regard to these matters are also described in Note 2. The consolidated financial statements do not include any adjustments that might result from the outcome of this uncertainty.</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These consolidated financial statements are the responsibility of the entity’s management. Our responsibility is to express an opinion on these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entity’s internal control over financial reporting. Accordingly, we express no such opinion.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provided a reasonable basis for our opinion.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 WithumSmith+Brown, PC</w: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2025.</w:t>
      </w:r>
    </w:p>
    <w:p>
      <w:pPr>
        <w:pStyle w:val="TextBody"/>
        <w:bidi w:val="0"/>
        <w:spacing w:before="120" w:after="1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Orlando, Florida</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March 30, 2026</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PCAOB ID Number 100</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Stockholders and Board of Directors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Innventure, Inc.</w:t>
      </w:r>
    </w:p>
    <w:p>
      <w:pPr>
        <w:pStyle w:val="TextBody"/>
        <w:bidi w:val="0"/>
        <w:spacing w:lineRule="auto" w:line="288" w:before="0" w:after="400"/>
        <w:jc w:val="left"/>
        <w:rPr>
          <w:rFonts w:ascii="Times New Roman;serif" w:hAnsi="Times New Roman;serif"/>
          <w:b w:val="false"/>
          <w:color w:val="000000"/>
          <w:sz w:val="20"/>
        </w:rPr>
      </w:pPr>
      <w:r>
        <w:rPr>
          <w:rFonts w:ascii="Times New Roman;serif" w:hAnsi="Times New Roman;serif"/>
          <w:b w:val="false"/>
          <w:color w:val="000000"/>
          <w:sz w:val="20"/>
        </w:rPr>
        <w:t>Orlando, FL</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Opinion on the Consolidated Financial Statements</w:t>
      </w:r>
    </w:p>
    <w:p>
      <w:pPr>
        <w:pStyle w:val="TextBody"/>
        <w:bidi w:val="0"/>
        <w:spacing w:lineRule="auto" w:line="288" w:before="120" w:after="120"/>
        <w:jc w:val="both"/>
        <w:rPr/>
      </w:pPr>
      <w:r>
        <w:rPr>
          <w:rFonts w:ascii="Times New Roman;serif" w:hAnsi="Times New Roman;serif"/>
          <w:b w:val="false"/>
          <w:color w:val="000000"/>
          <w:sz w:val="20"/>
        </w:rPr>
        <w:t>We have audited the accompanying consolidated balance sheet of Innventure, Inc. and Subsidiaries (the “Company”) as of December 31, 2024, the related consolidated statements of operations and comprehensive income (loss), stockholders’ equity, and cash flows for the period from October 2, 2024 through December 31, 2024 (“Successor”), and the consolidated statements of operations and comprehensive income (loss), changes in mezzanine capital, stockholders’ equity, and cash flows for the period January 1, 2024 through October 1, 2024 (“Predecessor”), and the related notes (collectively referred to as the “consolidated financial statements”). In our opinion, the consolidated financial statements present fairly, in all material respects, the financial position of the Company at December 31, 2024, and the results of its operations and its cash flows for the period from October 2, 2024 through December 31, 2024 (Successor), the period from January 1 2024 through October 1, 2024 (“Predecessor”)</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in conformity with accounting principles generally accepted in the United States of America.</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Going Concern Uncertainty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accompanying consolidated financial statements have been prepared assuming that the Company will continue as a going concern. As discussed in Note 2 to the consolidated financial statements, the Company has suffered recurring losses from operations and has working capital deficiencies that raise substantial doubt about its ability to continue as a going concern. Management’s plans in regard to these matters are also described in Note 2. The consolidated financial statements do not include any adjustments that might result from the outcome of this uncertainty.</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 BDO USA, P.C.</w:t>
      </w:r>
    </w:p>
    <w:p>
      <w:pPr>
        <w:pStyle w:val="TextBody"/>
        <w:bidi w:val="0"/>
        <w:spacing w:lineRule="auto" w:line="288" w:before="0" w:after="400"/>
        <w:jc w:val="left"/>
        <w:rPr>
          <w:rFonts w:ascii="Times New Roman;serif" w:hAnsi="Times New Roman;serif"/>
          <w:b w:val="false"/>
          <w:color w:val="000000"/>
          <w:sz w:val="20"/>
        </w:rPr>
      </w:pPr>
      <w:r>
        <w:rPr>
          <w:rFonts w:ascii="Times New Roman;serif" w:hAnsi="Times New Roman;serif"/>
          <w:b w:val="false"/>
          <w:color w:val="000000"/>
          <w:sz w:val="20"/>
        </w:rPr>
        <w:t>We served as the Company's auditor from 2022 to 2025.</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Raleigh, North Carolina</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April 14,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20"/>
        <w:jc w:val="left"/>
        <w:rPr/>
      </w:pPr>
      <w:hyperlink w:anchor="i507f7219d73d42a58f688d408612ee4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2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2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2791"/>
        <w:gridCol w:w="2371"/>
        <w:gridCol w:w="2396"/>
        <w:gridCol w:w="214"/>
        <w:gridCol w:w="764"/>
        <w:gridCol w:w="128"/>
        <w:gridCol w:w="109"/>
        <w:gridCol w:w="109"/>
        <w:gridCol w:w="109"/>
        <w:gridCol w:w="192"/>
        <w:gridCol w:w="688"/>
        <w:gridCol w:w="334"/>
      </w:tblGrid>
      <w:tr>
        <w:trPr/>
        <w:tc>
          <w:tcPr>
            <w:tcW w:w="2791" w:type="dxa"/>
            <w:tcBorders/>
            <w:vAlign w:val="center"/>
          </w:tcPr>
          <w:p>
            <w:pPr>
              <w:pStyle w:val="TableContents"/>
              <w:bidi w:val="0"/>
              <w:spacing w:before="0" w:after="283"/>
              <w:jc w:val="left"/>
              <w:rPr>
                <w:sz w:val="4"/>
                <w:szCs w:val="4"/>
              </w:rPr>
            </w:pPr>
            <w:r>
              <w:rPr>
                <w:sz w:val="4"/>
                <w:szCs w:val="4"/>
              </w:rPr>
            </w:r>
          </w:p>
        </w:tc>
        <w:tc>
          <w:tcPr>
            <w:tcW w:w="2371" w:type="dxa"/>
            <w:tcBorders/>
            <w:vAlign w:val="center"/>
          </w:tcPr>
          <w:p>
            <w:pPr>
              <w:pStyle w:val="TableContents"/>
              <w:bidi w:val="0"/>
              <w:spacing w:before="0" w:after="283"/>
              <w:jc w:val="left"/>
              <w:rPr>
                <w:sz w:val="4"/>
                <w:szCs w:val="4"/>
              </w:rPr>
            </w:pPr>
            <w:r>
              <w:rPr>
                <w:sz w:val="4"/>
                <w:szCs w:val="4"/>
              </w:rPr>
            </w:r>
          </w:p>
        </w:tc>
        <w:tc>
          <w:tcPr>
            <w:tcW w:w="239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7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Successor</w:t>
            </w:r>
          </w:p>
        </w:tc>
      </w:tr>
      <w:tr>
        <w:trPr/>
        <w:tc>
          <w:tcPr>
            <w:tcW w:w="7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December 31, 2024</w:t>
            </w:r>
          </w:p>
        </w:tc>
      </w:tr>
      <w:tr>
        <w:trPr/>
        <w:tc>
          <w:tcPr>
            <w:tcW w:w="75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Assets</w:t>
            </w:r>
          </w:p>
        </w:tc>
        <w:tc>
          <w:tcPr>
            <w:tcW w:w="11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5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Cash, cash equivalents and restricted cash</w:t>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60,449 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11,119 </w:t>
            </w:r>
          </w:p>
        </w:tc>
        <w:tc>
          <w:tcPr>
            <w:tcW w:w="334"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5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Restricted cash</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5,000 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4"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5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Accounts receivable</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1,094 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283 </w:t>
            </w:r>
          </w:p>
        </w:tc>
        <w:tc>
          <w:tcPr>
            <w:tcW w:w="334"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5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Due from related parties</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11,840 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4,536 </w:t>
            </w:r>
          </w:p>
        </w:tc>
        <w:tc>
          <w:tcPr>
            <w:tcW w:w="334"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5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Inventories</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1,604 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5,178 </w:t>
            </w:r>
          </w:p>
        </w:tc>
        <w:tc>
          <w:tcPr>
            <w:tcW w:w="334"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5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Prepaid expenses and other current assets</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3,167 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3,170 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4"/>
              </w:rPr>
            </w:pPr>
            <w:r>
              <w:rPr>
                <w:rFonts w:ascii="Times New Roman;serif" w:hAnsi="Times New Roman;serif"/>
                <w:b/>
                <w:color w:val="000000"/>
                <w:sz w:val="14"/>
              </w:rPr>
              <w:t xml:space="preserve">Total Current Assets </w:t>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83,154</w:t>
            </w:r>
            <w:r>
              <w:rPr>
                <w:color w:val="000000"/>
              </w:rPr>
              <w:t>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24,286</w:t>
            </w:r>
            <w:r>
              <w:rPr>
                <w:color w:val="000000"/>
              </w:rPr>
              <w:t> </w:t>
            </w:r>
          </w:p>
        </w:tc>
        <w:tc>
          <w:tcPr>
            <w:tcW w:w="3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5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Investments</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28,741 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28,734 </w:t>
            </w:r>
          </w:p>
        </w:tc>
        <w:tc>
          <w:tcPr>
            <w:tcW w:w="334"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5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Property, plant and equipment, net</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1,941 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1,414 </w:t>
            </w:r>
          </w:p>
        </w:tc>
        <w:tc>
          <w:tcPr>
            <w:tcW w:w="334"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5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Intangible assets, net</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160,537 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182,153 </w:t>
            </w:r>
          </w:p>
        </w:tc>
        <w:tc>
          <w:tcPr>
            <w:tcW w:w="334"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5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Goodwill</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323,463 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667,936 </w:t>
            </w:r>
          </w:p>
        </w:tc>
        <w:tc>
          <w:tcPr>
            <w:tcW w:w="334"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5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Other assets</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1,351 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766 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4"/>
              </w:rPr>
            </w:pPr>
            <w:r>
              <w:rPr>
                <w:rFonts w:ascii="Times New Roman;serif" w:hAnsi="Times New Roman;serif"/>
                <w:b/>
                <w:color w:val="000000"/>
                <w:sz w:val="14"/>
              </w:rPr>
              <w:t xml:space="preserve">Total Assets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599,187</w:t>
            </w:r>
            <w:r>
              <w:rPr>
                <w:color w:val="000000"/>
              </w:rPr>
              <w:t>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905,289</w:t>
            </w:r>
            <w:r>
              <w:rPr>
                <w:color w:val="000000"/>
              </w:rPr>
              <w:t> </w:t>
            </w:r>
          </w:p>
        </w:tc>
        <w:tc>
          <w:tcPr>
            <w:tcW w:w="3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Liabilities and Stockholders' Deficit</w:t>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5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Accounts payable</w:t>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2,551 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3,248 </w:t>
            </w:r>
          </w:p>
        </w:tc>
        <w:tc>
          <w:tcPr>
            <w:tcW w:w="334"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5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Accrued employee benefits</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11,343 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9,273 </w:t>
            </w:r>
          </w:p>
        </w:tc>
        <w:tc>
          <w:tcPr>
            <w:tcW w:w="334"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5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Accrued expenses</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7,386 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2,478 </w:t>
            </w:r>
          </w:p>
        </w:tc>
        <w:tc>
          <w:tcPr>
            <w:tcW w:w="334"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5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Contract liabilities</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947 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4"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5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Related party notes payable - current</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14,000 </w:t>
            </w:r>
          </w:p>
        </w:tc>
        <w:tc>
          <w:tcPr>
            <w:tcW w:w="334"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5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Notes payable - current</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12,846 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625 </w:t>
            </w:r>
          </w:p>
        </w:tc>
        <w:tc>
          <w:tcPr>
            <w:tcW w:w="334"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5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Term convertible note, current</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7,890 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5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Convertible note - related party, current</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4,331 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4"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5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Patent installment payable - current</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700 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1,225 </w:t>
            </w:r>
          </w:p>
        </w:tc>
        <w:tc>
          <w:tcPr>
            <w:tcW w:w="334"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5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Obligation to issue equity</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4,158 </w:t>
            </w:r>
          </w:p>
        </w:tc>
        <w:tc>
          <w:tcPr>
            <w:tcW w:w="334"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5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Warrant liability</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27,458 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34,023 </w:t>
            </w:r>
          </w:p>
        </w:tc>
        <w:tc>
          <w:tcPr>
            <w:tcW w:w="334"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5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Income taxes payable</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8"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ind w:left="0" w:right="0" w:firstLine="180"/>
              <w:jc w:val="left"/>
              <w:rPr>
                <w:sz w:val="4"/>
                <w:szCs w:val="4"/>
              </w:rPr>
            </w:pPr>
            <w:r>
              <w:rPr>
                <w:sz w:val="4"/>
                <w:szCs w:val="4"/>
              </w:rPr>
            </w:r>
          </w:p>
        </w:tc>
      </w:tr>
      <w:tr>
        <w:trPr/>
        <w:tc>
          <w:tcPr>
            <w:tcW w:w="75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Other current liabilities</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682 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317 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4"/>
              </w:rPr>
            </w:pPr>
            <w:r>
              <w:rPr>
                <w:rFonts w:ascii="Times New Roman;serif" w:hAnsi="Times New Roman;serif"/>
                <w:b/>
                <w:color w:val="000000"/>
                <w:sz w:val="14"/>
              </w:rPr>
              <w:t xml:space="preserve">Total Current Liabilities </w:t>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76,276</w:t>
            </w: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69,347</w:t>
            </w:r>
            <w:r>
              <w:rPr>
                <w:color w:val="000000"/>
              </w:rPr>
              <w:t>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5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Notes payable, net of current portion</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8,327 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13,654 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8"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7558"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ind w:left="0" w:right="0" w:firstLine="180"/>
              <w:jc w:val="left"/>
              <w:rPr>
                <w:sz w:val="4"/>
                <w:szCs w:val="4"/>
              </w:rPr>
            </w:pPr>
            <w:r>
              <w:rPr>
                <w:sz w:val="4"/>
                <w:szCs w:val="4"/>
              </w:rPr>
            </w:r>
          </w:p>
        </w:tc>
      </w:tr>
      <w:tr>
        <w:trPr/>
        <w:tc>
          <w:tcPr>
            <w:tcW w:w="75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Earnout liability</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3,890 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14,752 </w:t>
            </w:r>
          </w:p>
        </w:tc>
        <w:tc>
          <w:tcPr>
            <w:tcW w:w="334"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5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 liability</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1,160 </w:t>
            </w:r>
          </w:p>
        </w:tc>
        <w:tc>
          <w:tcPr>
            <w:tcW w:w="334"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5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Patent installment payable, net of current</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12,375 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12,375 </w:t>
            </w:r>
          </w:p>
        </w:tc>
        <w:tc>
          <w:tcPr>
            <w:tcW w:w="334"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5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Deferred income taxes</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13,848 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27,353 </w:t>
            </w:r>
          </w:p>
        </w:tc>
        <w:tc>
          <w:tcPr>
            <w:tcW w:w="334"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5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Other liabilities</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556 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355 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4"/>
              </w:rPr>
            </w:pPr>
            <w:r>
              <w:rPr>
                <w:rFonts w:ascii="Times New Roman;serif" w:hAnsi="Times New Roman;serif"/>
                <w:b/>
                <w:color w:val="000000"/>
                <w:sz w:val="14"/>
              </w:rPr>
              <w:t xml:space="preserve">Total Liabilities </w:t>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115,511</w:t>
            </w:r>
            <w:r>
              <w:rPr>
                <w:color w:val="000000"/>
              </w:rPr>
              <w:t>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138,996</w:t>
            </w:r>
            <w:r>
              <w:rPr>
                <w:color w:val="000000"/>
              </w:rPr>
              <w:t> </w:t>
            </w:r>
          </w:p>
        </w:tc>
        <w:tc>
          <w:tcPr>
            <w:tcW w:w="3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Commitments and Contingencies (Note 19)</w:t>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Stockholders' Equity</w:t>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Preferred stock, $0.0001 par value, 25,000,000 shares authorized;</w:t>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Series B Preferred Stock, $0.0001 par value, 3,000,000 shares designated, 33,144 and 1,102,000 shares issued and outstanding as of December 31, 2025 and December 31, 2024, respectively.</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Series C Preferred Stock, $0.0001 par value, 5,000,000 shares designated, 150,000 shares issued and outstanding as of December 31, 2025 and no shares issued and outstanding as of December 31, 2024.</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Common Stock, $0.0001 par value, 250,000,000 shares authorized, 67,743,847 and 44,597,154 shares issued and outstanding as of December 31, 2025 and December 31, 2024, respectively.</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Additional paid-in capital</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577,070 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502,865 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Accumulated other comprehensive gain (loss)</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(1,260)</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909 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Accumulated deficit</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(371,603)</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(78,262)</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Total Innventure, Inc., Stockholders’ Equity</w:t>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204,214</w:t>
            </w:r>
            <w:r>
              <w:rPr>
                <w:color w:val="000000"/>
              </w:rPr>
              <w:t>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425,516</w:t>
            </w:r>
            <w:r>
              <w:rPr>
                <w:color w:val="000000"/>
              </w:rPr>
              <w:t> </w:t>
            </w:r>
          </w:p>
        </w:tc>
        <w:tc>
          <w:tcPr>
            <w:tcW w:w="3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Non-controlling interest</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279,462 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340,777 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Total Stockholders' Equity</w:t>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483,676</w:t>
            </w:r>
            <w:r>
              <w:rPr>
                <w:color w:val="000000"/>
              </w:rPr>
              <w:t>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766,293</w:t>
            </w:r>
            <w:r>
              <w:rPr>
                <w:color w:val="000000"/>
              </w:rPr>
              <w:t> </w:t>
            </w:r>
          </w:p>
        </w:tc>
        <w:tc>
          <w:tcPr>
            <w:tcW w:w="3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Total Liabilities and Stockholder’s Equity</w:t>
            </w:r>
          </w:p>
        </w:tc>
        <w:tc>
          <w:tcPr>
            <w:tcW w:w="21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6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599,187</w:t>
            </w:r>
            <w:r>
              <w:rPr>
                <w:color w:val="000000"/>
              </w:rPr>
              <w:t> </w:t>
            </w:r>
          </w:p>
        </w:tc>
        <w:tc>
          <w:tcPr>
            <w:tcW w:w="12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8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905,289</w:t>
            </w:r>
            <w:r>
              <w:rPr>
                <w:color w:val="000000"/>
              </w:rPr>
              <w:t> </w:t>
            </w:r>
          </w:p>
        </w:tc>
        <w:tc>
          <w:tcPr>
            <w:tcW w:w="33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120"/>
        <w:jc w:val="left"/>
        <w:rPr/>
      </w:pPr>
      <w:hyperlink w:anchor="i507f7219d73d42a58f688d408612ee4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Consolidated Statements of Operations and Comprehensive Income (Loss)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1552"/>
        <w:gridCol w:w="1133"/>
        <w:gridCol w:w="1155"/>
        <w:gridCol w:w="297"/>
        <w:gridCol w:w="1163"/>
        <w:gridCol w:w="160"/>
        <w:gridCol w:w="109"/>
        <w:gridCol w:w="109"/>
        <w:gridCol w:w="109"/>
        <w:gridCol w:w="441"/>
        <w:gridCol w:w="1366"/>
        <w:gridCol w:w="211"/>
        <w:gridCol w:w="109"/>
        <w:gridCol w:w="109"/>
        <w:gridCol w:w="109"/>
        <w:gridCol w:w="312"/>
        <w:gridCol w:w="1115"/>
        <w:gridCol w:w="646"/>
      </w:tblGrid>
      <w:tr>
        <w:trPr/>
        <w:tc>
          <w:tcPr>
            <w:tcW w:w="1552"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Predecessor</w:t>
            </w:r>
          </w:p>
        </w:tc>
      </w:tr>
      <w:tr>
        <w:trPr/>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October 2, 2024 through 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January 1, 2024 through October 1, 2024</w:t>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Revenue</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1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2,056</w:t>
            </w: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456</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1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764</w:t>
            </w:r>
            <w:r>
              <w:rPr>
                <w:color w:val="000000"/>
              </w:rPr>
              <w:t> </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Operating Expenses</w:t>
            </w:r>
          </w:p>
        </w:tc>
        <w:tc>
          <w:tcPr>
            <w:tcW w:w="1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w:t>
            </w:r>
          </w:p>
        </w:tc>
        <w:tc>
          <w:tcPr>
            <w:tcW w:w="14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18,830 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3,752 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777 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and administrative</w:t>
            </w:r>
          </w:p>
        </w:tc>
        <w:tc>
          <w:tcPr>
            <w:tcW w:w="14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66,710 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29,652 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26,608 </w:t>
            </w:r>
          </w:p>
        </w:tc>
        <w:tc>
          <w:tcPr>
            <w:tcW w:w="646"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Sales and marketing</w:t>
            </w:r>
          </w:p>
        </w:tc>
        <w:tc>
          <w:tcPr>
            <w:tcW w:w="14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9,633 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2,009 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4,178 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Research and development</w:t>
            </w:r>
          </w:p>
        </w:tc>
        <w:tc>
          <w:tcPr>
            <w:tcW w:w="14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25,025 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5,340 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5,978 </w:t>
            </w:r>
          </w:p>
        </w:tc>
        <w:tc>
          <w:tcPr>
            <w:tcW w:w="646"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Goodwill impairment</w:t>
            </w:r>
          </w:p>
        </w:tc>
        <w:tc>
          <w:tcPr>
            <w:tcW w:w="14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346,557 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 xml:space="preserve">Total Operating Expenses </w:t>
            </w:r>
          </w:p>
        </w:tc>
        <w:tc>
          <w:tcPr>
            <w:tcW w:w="14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466,755</w:t>
            </w: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40,753</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37,541</w:t>
            </w:r>
            <w:r>
              <w:rPr>
                <w:color w:val="000000"/>
              </w:rPr>
              <w:t> </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 xml:space="preserve">Loss from Operations </w:t>
            </w:r>
          </w:p>
        </w:tc>
        <w:tc>
          <w:tcPr>
            <w:tcW w:w="14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(464,699)</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(40,297)</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(36,777)</w:t>
            </w:r>
          </w:p>
        </w:tc>
        <w:tc>
          <w:tcPr>
            <w:tcW w:w="6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Non-operating (Expense) and Income</w:t>
            </w:r>
          </w:p>
        </w:tc>
        <w:tc>
          <w:tcPr>
            <w:tcW w:w="1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net</w:t>
            </w:r>
          </w:p>
        </w:tc>
        <w:tc>
          <w:tcPr>
            <w:tcW w:w="14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(9,678)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(1,132)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(1,300)</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gain (loss) from investments</w:t>
            </w:r>
          </w:p>
        </w:tc>
        <w:tc>
          <w:tcPr>
            <w:tcW w:w="14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11,547 </w:t>
            </w:r>
          </w:p>
        </w:tc>
        <w:tc>
          <w:tcPr>
            <w:tcW w:w="646"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gain on investments - due to related parties</w:t>
            </w:r>
          </w:p>
        </w:tc>
        <w:tc>
          <w:tcPr>
            <w:tcW w:w="14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(468)</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of financial liabilities</w:t>
            </w:r>
          </w:p>
        </w:tc>
        <w:tc>
          <w:tcPr>
            <w:tcW w:w="14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16,146 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(20,946)</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(478)</w:t>
            </w:r>
          </w:p>
        </w:tc>
        <w:tc>
          <w:tcPr>
            <w:tcW w:w="646"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Equity method investment (loss) income</w:t>
            </w:r>
          </w:p>
        </w:tc>
        <w:tc>
          <w:tcPr>
            <w:tcW w:w="14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(12,592)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893 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Realized gain on conversion of available for sale investment</w:t>
            </w:r>
          </w:p>
        </w:tc>
        <w:tc>
          <w:tcPr>
            <w:tcW w:w="14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1,507 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46"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Loss on extinguishment of debt</w:t>
            </w:r>
          </w:p>
        </w:tc>
        <w:tc>
          <w:tcPr>
            <w:tcW w:w="14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(16,064)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Loss on extinguishment of related party debt</w:t>
            </w:r>
          </w:p>
        </w:tc>
        <w:tc>
          <w:tcPr>
            <w:tcW w:w="14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(3,538)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46"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Loss on conversion of promissory notes</w:t>
            </w:r>
          </w:p>
        </w:tc>
        <w:tc>
          <w:tcPr>
            <w:tcW w:w="14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(1,119)</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3" w:type="dxa"/>
            <w:gridSpan w:val="3"/>
            <w:tcBorders/>
            <w:vAlign w:val="center"/>
          </w:tcPr>
          <w:p>
            <w:pPr>
              <w:pStyle w:val="TableContents"/>
              <w:bidi w:val="0"/>
              <w:spacing w:before="0" w:after="283"/>
              <w:ind w:left="0" w:right="0" w:firstLine="270"/>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Write-off of loan commitment fee asset</w:t>
            </w:r>
          </w:p>
        </w:tc>
        <w:tc>
          <w:tcPr>
            <w:tcW w:w="14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(10,041)</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46"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Miscellaneous other expense</w:t>
            </w:r>
          </w:p>
        </w:tc>
        <w:tc>
          <w:tcPr>
            <w:tcW w:w="14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 xml:space="preserve">Total Non-operating (Expense) Income </w:t>
            </w:r>
          </w:p>
        </w:tc>
        <w:tc>
          <w:tcPr>
            <w:tcW w:w="14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(24,134)</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(33,078)</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9,011</w:t>
            </w:r>
            <w:r>
              <w:rPr>
                <w:color w:val="000000"/>
              </w:rPr>
              <w:t> </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Loss before Income Taxes</w:t>
            </w:r>
          </w:p>
        </w:tc>
        <w:tc>
          <w:tcPr>
            <w:tcW w:w="14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(488,833)</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(73,375)</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(27,766)</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expense (benefit)</w:t>
            </w:r>
          </w:p>
        </w:tc>
        <w:tc>
          <w:tcPr>
            <w:tcW w:w="14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(13,483)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(3,282)</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432 </w:t>
            </w:r>
          </w:p>
        </w:tc>
        <w:tc>
          <w:tcPr>
            <w:tcW w:w="6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 xml:space="preserve">Net Loss </w:t>
            </w:r>
          </w:p>
        </w:tc>
        <w:tc>
          <w:tcPr>
            <w:tcW w:w="14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(475,350)</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(70,093)</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(28,198)</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Less: net loss attributable to</w:t>
            </w:r>
          </w:p>
        </w:tc>
        <w:tc>
          <w:tcPr>
            <w:tcW w:w="1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Non-redeemable non-controlling interest</w:t>
            </w:r>
          </w:p>
        </w:tc>
        <w:tc>
          <w:tcPr>
            <w:tcW w:w="14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(182,033)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(8,339)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(11,762)</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 xml:space="preserve">Net Loss Attributable to Innventure, Inc. Stockholders / Innventure LLC Unitholders </w:t>
            </w:r>
          </w:p>
        </w:tc>
        <w:tc>
          <w:tcPr>
            <w:tcW w:w="14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(293,317)</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(61,754)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(16,436)</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Basic and diluted loss per share</w:t>
            </w:r>
          </w:p>
        </w:tc>
        <w:tc>
          <w:tcPr>
            <w:tcW w:w="29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6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(5.39)</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(1.41)</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Basic and diluted weighted average common shares</w:t>
            </w:r>
          </w:p>
        </w:tc>
        <w:tc>
          <w:tcPr>
            <w:tcW w:w="14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54,420,978 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43,951,279 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Other comprehensive income (loss), net of taxes:</w:t>
            </w:r>
          </w:p>
        </w:tc>
        <w:tc>
          <w:tcPr>
            <w:tcW w:w="1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gain (loss) on available-for-sale debt securities - related party</w:t>
            </w:r>
          </w:p>
        </w:tc>
        <w:tc>
          <w:tcPr>
            <w:tcW w:w="1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(662)</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6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Reclassification of realized gain (loss) on conversion of available for sale investments</w:t>
            </w:r>
          </w:p>
        </w:tc>
        <w:tc>
          <w:tcPr>
            <w:tcW w:w="1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other comprehensive gain (loss), net of taxes</w:t>
            </w:r>
          </w:p>
        </w:tc>
        <w:tc>
          <w:tcPr>
            <w:tcW w:w="14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(2,169)</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909</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62</w:t>
            </w:r>
            <w:r>
              <w:rPr>
                <w:color w:val="000000"/>
              </w:rPr>
              <w:t> </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comprehensive income (loss), net of taxes</w:t>
            </w:r>
          </w:p>
        </w:tc>
        <w:tc>
          <w:tcPr>
            <w:tcW w:w="14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(477,519)</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(69,184)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(28,136)</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Less: comprehensive loss attributable to</w:t>
            </w:r>
          </w:p>
        </w:tc>
        <w:tc>
          <w:tcPr>
            <w:tcW w:w="1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Non-redeemable non-controlling interest</w:t>
            </w:r>
          </w:p>
        </w:tc>
        <w:tc>
          <w:tcPr>
            <w:tcW w:w="1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(182,033)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(8,339)</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(11,762)</w:t>
            </w:r>
          </w:p>
        </w:tc>
        <w:tc>
          <w:tcPr>
            <w:tcW w:w="6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Comprehensive Loss Attributable to Innventure, Inc. Stockholders / Innventure LLC Unitholders</w:t>
            </w:r>
          </w:p>
        </w:tc>
        <w:tc>
          <w:tcPr>
            <w:tcW w:w="29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16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(295,486)</w:t>
            </w:r>
          </w:p>
        </w:tc>
        <w:tc>
          <w:tcPr>
            <w:tcW w:w="16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3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(60,845)</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11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(16,374)</w:t>
            </w:r>
          </w:p>
        </w:tc>
        <w:tc>
          <w:tcPr>
            <w:tcW w:w="6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120"/>
        <w:jc w:val="left"/>
        <w:rPr/>
      </w:pPr>
      <w:hyperlink w:anchor="i507f7219d73d42a58f688d408612ee4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Consolidated Statements of Changes in Mezzanine Capital (Predecessor)</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9049" w:type="dxa"/>
        <w:jc w:val="left"/>
        <w:tblInd w:w="0" w:type="dxa"/>
        <w:tblLayout w:type="fixed"/>
        <w:tblCellMar>
          <w:top w:w="28" w:type="dxa"/>
          <w:left w:w="28" w:type="dxa"/>
          <w:bottom w:w="28" w:type="dxa"/>
          <w:right w:w="28" w:type="dxa"/>
        </w:tblCellMar>
      </w:tblPr>
      <w:tblGrid>
        <w:gridCol w:w="1530"/>
        <w:gridCol w:w="1347"/>
        <w:gridCol w:w="1352"/>
        <w:gridCol w:w="269"/>
        <w:gridCol w:w="806"/>
        <w:gridCol w:w="139"/>
        <w:gridCol w:w="109"/>
        <w:gridCol w:w="109"/>
        <w:gridCol w:w="109"/>
        <w:gridCol w:w="320"/>
        <w:gridCol w:w="1119"/>
        <w:gridCol w:w="165"/>
        <w:gridCol w:w="109"/>
        <w:gridCol w:w="109"/>
        <w:gridCol w:w="109"/>
        <w:gridCol w:w="211"/>
        <w:gridCol w:w="736"/>
        <w:gridCol w:w="401"/>
      </w:tblGrid>
      <w:tr>
        <w:trPr/>
        <w:tc>
          <w:tcPr>
            <w:tcW w:w="1530"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Class I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Class PCTA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December 31, 2023</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2,912</w:t>
            </w: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7,718</w:t>
            </w:r>
            <w:r>
              <w:rPr>
                <w:color w:val="000000"/>
              </w:rPr>
              <w:t>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10,630</w:t>
            </w:r>
            <w:r>
              <w:rPr>
                <w:color w:val="000000"/>
              </w:rPr>
              <w:t> </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of redeemable units to redemption value</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10,385 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11,950 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October 1, 2024</w:t>
            </w:r>
          </w:p>
        </w:tc>
        <w:tc>
          <w:tcPr>
            <w:tcW w:w="26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4,477</w:t>
            </w:r>
            <w:r>
              <w:rPr>
                <w:color w:val="000000"/>
              </w:rPr>
              <w:t> </w:t>
            </w:r>
          </w:p>
        </w:tc>
        <w:tc>
          <w:tcPr>
            <w:tcW w:w="13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1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18,103</w:t>
            </w:r>
            <w:r>
              <w:rPr>
                <w:color w:val="000000"/>
              </w:rPr>
              <w:t> </w:t>
            </w:r>
          </w:p>
        </w:tc>
        <w:tc>
          <w:tcPr>
            <w:tcW w:w="16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22,580</w:t>
            </w:r>
            <w:r>
              <w:rPr>
                <w:color w:val="000000"/>
              </w:rPr>
              <w:t> </w:t>
            </w:r>
          </w:p>
        </w:tc>
        <w:tc>
          <w:tcPr>
            <w:tcW w:w="40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Changes in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12593" w:type="dxa"/>
        <w:jc w:val="center"/>
        <w:tblInd w:w="0" w:type="dxa"/>
        <w:tblLayout w:type="fixed"/>
        <w:tblCellMar>
          <w:top w:w="28" w:type="dxa"/>
          <w:left w:w="28" w:type="dxa"/>
          <w:bottom w:w="28" w:type="dxa"/>
          <w:right w:w="28" w:type="dxa"/>
        </w:tblCellMar>
      </w:tblPr>
      <w:tblGrid>
        <w:gridCol w:w="645"/>
        <w:gridCol w:w="382"/>
        <w:gridCol w:w="384"/>
        <w:gridCol w:w="211"/>
        <w:gridCol w:w="736"/>
        <w:gridCol w:w="109"/>
        <w:gridCol w:w="109"/>
        <w:gridCol w:w="109"/>
        <w:gridCol w:w="109"/>
        <w:gridCol w:w="211"/>
        <w:gridCol w:w="631"/>
        <w:gridCol w:w="109"/>
        <w:gridCol w:w="109"/>
        <w:gridCol w:w="109"/>
        <w:gridCol w:w="109"/>
        <w:gridCol w:w="211"/>
        <w:gridCol w:w="631"/>
        <w:gridCol w:w="109"/>
        <w:gridCol w:w="109"/>
        <w:gridCol w:w="109"/>
        <w:gridCol w:w="109"/>
        <w:gridCol w:w="211"/>
        <w:gridCol w:w="481"/>
        <w:gridCol w:w="109"/>
        <w:gridCol w:w="109"/>
        <w:gridCol w:w="109"/>
        <w:gridCol w:w="109"/>
        <w:gridCol w:w="242"/>
        <w:gridCol w:w="847"/>
        <w:gridCol w:w="127"/>
        <w:gridCol w:w="109"/>
        <w:gridCol w:w="109"/>
        <w:gridCol w:w="109"/>
        <w:gridCol w:w="353"/>
        <w:gridCol w:w="680"/>
        <w:gridCol w:w="183"/>
        <w:gridCol w:w="109"/>
        <w:gridCol w:w="109"/>
        <w:gridCol w:w="109"/>
        <w:gridCol w:w="299"/>
        <w:gridCol w:w="1046"/>
        <w:gridCol w:w="156"/>
        <w:gridCol w:w="109"/>
        <w:gridCol w:w="109"/>
        <w:gridCol w:w="109"/>
        <w:gridCol w:w="230"/>
        <w:gridCol w:w="802"/>
        <w:gridCol w:w="169"/>
      </w:tblGrid>
      <w:tr>
        <w:trPr/>
        <w:tc>
          <w:tcPr>
            <w:tcW w:w="64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Class B Preferred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Class B-1 Preferred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Class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Class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Accumulated 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 Unitholders' Deficit</w:t>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December 31, 2023 (Predecessor)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38,122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3,323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1,950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844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(64,284)</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1,559</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(18,486)</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(16,436)</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(11,762)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(28,198)</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net of taxes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Units issued to non-controlling interest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13,921 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units, net of issuance costs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13,561 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Unit-based compensation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units to non-controlling interest in exchange of convertible promissory notes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8,443 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8,443 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of redeemable units to redemption value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(11,950)</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(11,950)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October 1, 2024 (Predecessor)</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51,683</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3,323</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1,950</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981</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(92,670)</w:t>
            </w:r>
          </w:p>
        </w:tc>
        <w:tc>
          <w:tcPr>
            <w:tcW w:w="12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8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62</w:t>
            </w:r>
            <w:r>
              <w:rPr>
                <w:color w:val="000000"/>
              </w:rPr>
              <w:t> </w:t>
            </w:r>
          </w:p>
        </w:tc>
        <w:tc>
          <w:tcPr>
            <w:tcW w:w="18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13,080</w:t>
            </w:r>
            <w:r>
              <w:rPr>
                <w:color w:val="000000"/>
              </w:rPr>
              <w:t> </w:t>
            </w:r>
          </w:p>
        </w:tc>
        <w:tc>
          <w:tcPr>
            <w:tcW w:w="1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(21,591)</w:t>
            </w:r>
          </w:p>
        </w:tc>
        <w:tc>
          <w:tcPr>
            <w:tcW w:w="16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Changes in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before="0" w:after="180"/>
        <w:jc w:val="left"/>
        <w:rPr/>
      </w:pPr>
      <w:r>
        <w:rPr/>
      </w:r>
    </w:p>
    <w:p>
      <w:pPr>
        <w:pStyle w:val="TextBody"/>
        <w:bidi w:val="0"/>
        <w:spacing w:before="0" w:after="0"/>
        <w:jc w:val="left"/>
        <w:rPr/>
      </w:pPr>
      <w:r>
        <w:rPr/>
      </w:r>
    </w:p>
    <w:tbl>
      <w:tblPr>
        <w:tblW w:w="14558" w:type="dxa"/>
        <w:jc w:val="left"/>
        <w:tblInd w:w="0" w:type="dxa"/>
        <w:tblLayout w:type="fixed"/>
        <w:tblCellMar>
          <w:top w:w="28" w:type="dxa"/>
          <w:left w:w="28" w:type="dxa"/>
          <w:bottom w:w="28" w:type="dxa"/>
          <w:right w:w="28" w:type="dxa"/>
        </w:tblCellMar>
      </w:tblPr>
      <w:tblGrid>
        <w:gridCol w:w="799"/>
        <w:gridCol w:w="320"/>
        <w:gridCol w:w="322"/>
        <w:gridCol w:w="495"/>
        <w:gridCol w:w="496"/>
        <w:gridCol w:w="226"/>
        <w:gridCol w:w="109"/>
        <w:gridCol w:w="109"/>
        <w:gridCol w:w="109"/>
        <w:gridCol w:w="266"/>
        <w:gridCol w:w="406"/>
        <w:gridCol w:w="109"/>
        <w:gridCol w:w="109"/>
        <w:gridCol w:w="109"/>
        <w:gridCol w:w="109"/>
        <w:gridCol w:w="547"/>
        <w:gridCol w:w="549"/>
        <w:gridCol w:w="226"/>
        <w:gridCol w:w="109"/>
        <w:gridCol w:w="109"/>
        <w:gridCol w:w="109"/>
        <w:gridCol w:w="226"/>
        <w:gridCol w:w="436"/>
        <w:gridCol w:w="119"/>
        <w:gridCol w:w="109"/>
        <w:gridCol w:w="109"/>
        <w:gridCol w:w="109"/>
        <w:gridCol w:w="211"/>
        <w:gridCol w:w="841"/>
        <w:gridCol w:w="109"/>
        <w:gridCol w:w="109"/>
        <w:gridCol w:w="109"/>
        <w:gridCol w:w="109"/>
        <w:gridCol w:w="242"/>
        <w:gridCol w:w="847"/>
        <w:gridCol w:w="127"/>
        <w:gridCol w:w="109"/>
        <w:gridCol w:w="109"/>
        <w:gridCol w:w="109"/>
        <w:gridCol w:w="320"/>
        <w:gridCol w:w="730"/>
        <w:gridCol w:w="166"/>
        <w:gridCol w:w="109"/>
        <w:gridCol w:w="109"/>
        <w:gridCol w:w="109"/>
        <w:gridCol w:w="272"/>
        <w:gridCol w:w="1087"/>
        <w:gridCol w:w="142"/>
        <w:gridCol w:w="109"/>
        <w:gridCol w:w="109"/>
        <w:gridCol w:w="109"/>
        <w:gridCol w:w="228"/>
        <w:gridCol w:w="910"/>
        <w:gridCol w:w="168"/>
      </w:tblGrid>
      <w:tr>
        <w:trPr/>
        <w:tc>
          <w:tcPr>
            <w:tcW w:w="79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Series B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Accumulated 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 Stockholders' Equity</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October 2, 2024 (Successor)</w:t>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11,342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(15,845)</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(4,503)</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(61,754)</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(8,339)</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(70,093)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acquisition of Innventure LLC</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43,589,850 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461,064 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343,030 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804,098 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of warrants from liability to equity</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shares, net of issuance costs</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160,000 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preferred shares, net of issuance costs</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1,102,000 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9,965 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shares from warrant exercises</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259,309 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gain, net of taxes</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 acquired</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Stockholders</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(663)</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Vesting of contingent at risk sponsor shares</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587,995 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16,338 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preferred dividends</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December 31, 2024 (Successor)</w:t>
            </w:r>
          </w:p>
        </w:tc>
        <w:tc>
          <w:tcPr>
            <w:tcW w:w="99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1,102,000</w:t>
            </w:r>
            <w:r>
              <w:rPr>
                <w:color w:val="000000"/>
              </w:rPr>
              <w:t> </w:t>
            </w:r>
          </w:p>
        </w:tc>
        <w:tc>
          <w:tcPr>
            <w:tcW w:w="2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44,597,154</w:t>
            </w:r>
            <w:r>
              <w:rPr>
                <w:color w:val="000000"/>
              </w:rPr>
              <w:t> </w:t>
            </w:r>
          </w:p>
        </w:tc>
        <w:tc>
          <w:tcPr>
            <w:tcW w:w="2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w:t>
            </w:r>
            <w:r>
              <w:rPr>
                <w:color w:val="000000"/>
              </w:rPr>
              <w:t> </w:t>
            </w:r>
          </w:p>
        </w:tc>
        <w:tc>
          <w:tcPr>
            <w:tcW w:w="11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502,865</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(78,262)</w:t>
            </w:r>
          </w:p>
        </w:tc>
        <w:tc>
          <w:tcPr>
            <w:tcW w:w="12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909</w:t>
            </w:r>
            <w:r>
              <w:rPr>
                <w:color w:val="000000"/>
              </w:rPr>
              <w:t> </w:t>
            </w:r>
          </w:p>
        </w:tc>
        <w:tc>
          <w:tcPr>
            <w:tcW w:w="1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8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340,777</w:t>
            </w:r>
            <w:r>
              <w:rPr>
                <w:color w:val="000000"/>
              </w:rPr>
              <w:t> </w:t>
            </w:r>
          </w:p>
        </w:tc>
        <w:tc>
          <w:tcPr>
            <w:tcW w:w="14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766,293</w:t>
            </w:r>
            <w:r>
              <w:rPr>
                <w:color w:val="000000"/>
              </w:rPr>
              <w:t> </w:t>
            </w:r>
          </w:p>
        </w:tc>
        <w:tc>
          <w:tcPr>
            <w:tcW w:w="16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120"/>
        <w:jc w:val="left"/>
        <w:rPr/>
      </w:pPr>
      <w:hyperlink w:anchor="i507f7219d73d42a58f688d408612ee4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Changes in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15958" w:type="dxa"/>
        <w:jc w:val="center"/>
        <w:tblInd w:w="0" w:type="dxa"/>
        <w:tblLayout w:type="fixed"/>
        <w:tblCellMar>
          <w:top w:w="28" w:type="dxa"/>
          <w:left w:w="28" w:type="dxa"/>
          <w:bottom w:w="28" w:type="dxa"/>
          <w:right w:w="28" w:type="dxa"/>
        </w:tblCellMar>
      </w:tblPr>
      <w:tblGrid>
        <w:gridCol w:w="491"/>
        <w:gridCol w:w="287"/>
        <w:gridCol w:w="288"/>
        <w:gridCol w:w="375"/>
        <w:gridCol w:w="376"/>
        <w:gridCol w:w="171"/>
        <w:gridCol w:w="203"/>
        <w:gridCol w:w="203"/>
        <w:gridCol w:w="109"/>
        <w:gridCol w:w="181"/>
        <w:gridCol w:w="406"/>
        <w:gridCol w:w="109"/>
        <w:gridCol w:w="109"/>
        <w:gridCol w:w="109"/>
        <w:gridCol w:w="109"/>
        <w:gridCol w:w="323"/>
        <w:gridCol w:w="323"/>
        <w:gridCol w:w="171"/>
        <w:gridCol w:w="109"/>
        <w:gridCol w:w="109"/>
        <w:gridCol w:w="109"/>
        <w:gridCol w:w="181"/>
        <w:gridCol w:w="406"/>
        <w:gridCol w:w="109"/>
        <w:gridCol w:w="109"/>
        <w:gridCol w:w="109"/>
        <w:gridCol w:w="109"/>
        <w:gridCol w:w="413"/>
        <w:gridCol w:w="413"/>
        <w:gridCol w:w="171"/>
        <w:gridCol w:w="109"/>
        <w:gridCol w:w="109"/>
        <w:gridCol w:w="109"/>
        <w:gridCol w:w="194"/>
        <w:gridCol w:w="259"/>
        <w:gridCol w:w="118"/>
        <w:gridCol w:w="109"/>
        <w:gridCol w:w="109"/>
        <w:gridCol w:w="109"/>
        <w:gridCol w:w="181"/>
        <w:gridCol w:w="646"/>
        <w:gridCol w:w="109"/>
        <w:gridCol w:w="109"/>
        <w:gridCol w:w="109"/>
        <w:gridCol w:w="109"/>
        <w:gridCol w:w="181"/>
        <w:gridCol w:w="631"/>
        <w:gridCol w:w="109"/>
        <w:gridCol w:w="109"/>
        <w:gridCol w:w="109"/>
        <w:gridCol w:w="109"/>
        <w:gridCol w:w="204"/>
        <w:gridCol w:w="543"/>
        <w:gridCol w:w="124"/>
        <w:gridCol w:w="109"/>
        <w:gridCol w:w="109"/>
        <w:gridCol w:w="109"/>
        <w:gridCol w:w="211"/>
        <w:gridCol w:w="756"/>
        <w:gridCol w:w="129"/>
        <w:gridCol w:w="109"/>
        <w:gridCol w:w="109"/>
        <w:gridCol w:w="109"/>
        <w:gridCol w:w="181"/>
        <w:gridCol w:w="646"/>
        <w:gridCol w:w="109"/>
        <w:gridCol w:w="327"/>
        <w:gridCol w:w="736"/>
        <w:gridCol w:w="171"/>
        <w:gridCol w:w="181"/>
        <w:gridCol w:w="406"/>
        <w:gridCol w:w="154"/>
      </w:tblGrid>
      <w:tr>
        <w:trPr/>
        <w:tc>
          <w:tcPr>
            <w:tcW w:w="49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7" w:type="dxa"/>
            <w:gridSpan w:val="6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Stockholders’ Equity</w:t>
            </w:r>
          </w:p>
        </w:tc>
        <w:tc>
          <w:tcPr>
            <w:tcW w:w="32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648"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Mezzanine Equity</w:t>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Series B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Series C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648"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Preferred Stock</w:t>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5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Accumulated 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Total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4"/>
              </w:rPr>
            </w:pPr>
            <w:r>
              <w:rPr>
                <w:rFonts w:ascii="Times New Roman;serif" w:hAnsi="Times New Roman;serif"/>
                <w:b/>
                <w:color w:val="000000"/>
                <w:sz w:val="14"/>
              </w:rPr>
              <w:t>December 31, 2024 (Successor)</w:t>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1,102,000</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44,597,154</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4</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502,865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4"/>
              </w:rPr>
            </w:pPr>
            <w:r>
              <w:rPr>
                <w:rFonts w:ascii="Times New Roman;serif" w:hAnsi="Times New Roman;serif"/>
                <w:b/>
                <w:color w:val="000000"/>
                <w:sz w:val="14"/>
              </w:rPr>
              <w:t>(78,262)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909</w:t>
            </w: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340,777</w:t>
            </w: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766,293 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(293,317)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(182,033)</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(475,350)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Series B Preferred Stock buyback</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(5,000)</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Series B Preferred Stock issued for paid-in-kind dividends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21,808 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common shares, net of issuance costs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1,699,228 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common shares for services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119,971 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Conversion of convertible debentures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11,003,432 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46,999 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47,000 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RSU settlement, net</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343,011 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Vesting of earnout shares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2,344,682 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gain, net of taxes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(2,169)</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Conversion of related party notes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2,310,848 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23,109 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Series C Preferred Stock, net</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275,000 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2,663 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Series C Preferred Stock for services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300,000 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Non-controlling interest issued and related transfers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(33,693)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113,308 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79,615 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Distributions to stockholders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20,462 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7,410 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Accrued preferred dividends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Conversion to Common Stock</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(1,085,664)</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7,636,369 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(2,735,848)</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(27,270)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Transfer of Series C Preferred Stock from Mezzanine equity to Stockholders' equity</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150,000 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(150,000)</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4"/>
              </w:rPr>
            </w:pPr>
            <w:r>
              <w:rPr>
                <w:rFonts w:ascii="Times New Roman;serif" w:hAnsi="Times New Roman;serif"/>
                <w:b/>
                <w:color w:val="000000"/>
                <w:sz w:val="14"/>
              </w:rPr>
              <w:t>December 31, 2025 (Successor)</w:t>
            </w:r>
          </w:p>
        </w:tc>
        <w:tc>
          <w:tcPr>
            <w:tcW w:w="75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33,144</w:t>
            </w:r>
            <w:r>
              <w:rPr>
                <w:color w:val="000000"/>
              </w:rPr>
              <w:t> </w:t>
            </w:r>
          </w:p>
        </w:tc>
        <w:tc>
          <w:tcPr>
            <w:tcW w:w="1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150,000</w:t>
            </w:r>
            <w:r>
              <w:rPr>
                <w:color w:val="000000"/>
              </w:rPr>
              <w:t> </w:t>
            </w:r>
          </w:p>
        </w:tc>
        <w:tc>
          <w:tcPr>
            <w:tcW w:w="1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67,743,847</w:t>
            </w:r>
            <w:r>
              <w:rPr>
                <w:color w:val="000000"/>
              </w:rPr>
              <w:t> </w:t>
            </w:r>
          </w:p>
        </w:tc>
        <w:tc>
          <w:tcPr>
            <w:tcW w:w="1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25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7</w:t>
            </w:r>
            <w:r>
              <w:rPr>
                <w:color w:val="000000"/>
              </w:rPr>
              <w:t> </w:t>
            </w:r>
          </w:p>
        </w:tc>
        <w:tc>
          <w:tcPr>
            <w:tcW w:w="11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577,070</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4"/>
              </w:rPr>
            </w:pPr>
            <w:r>
              <w:rPr>
                <w:rFonts w:ascii="Times New Roman;serif" w:hAnsi="Times New Roman;serif"/>
                <w:b/>
                <w:color w:val="000000"/>
                <w:sz w:val="14"/>
              </w:rPr>
              <w:t>(371,603)</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54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4"/>
              </w:rPr>
            </w:pPr>
            <w:r>
              <w:rPr>
                <w:rFonts w:ascii="Times New Roman;serif" w:hAnsi="Times New Roman;serif"/>
                <w:b/>
                <w:color w:val="000000"/>
                <w:sz w:val="14"/>
              </w:rPr>
              <w:t>(1,260)</w:t>
            </w:r>
          </w:p>
        </w:tc>
        <w:tc>
          <w:tcPr>
            <w:tcW w:w="12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279,462</w:t>
            </w:r>
            <w:r>
              <w:rPr>
                <w:color w:val="000000"/>
              </w:rPr>
              <w:t> </w:t>
            </w:r>
          </w:p>
        </w:tc>
        <w:tc>
          <w:tcPr>
            <w:tcW w:w="12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483,676</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120"/>
        <w:jc w:val="left"/>
        <w:rPr/>
      </w:pPr>
      <w:hyperlink w:anchor="i507f7219d73d42a58f688d408612ee4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Changes in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120"/>
        <w:jc w:val="left"/>
        <w:rPr/>
      </w:pPr>
      <w:hyperlink w:anchor="i507f7219d73d42a58f688d408612ee4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1346"/>
        <w:gridCol w:w="1111"/>
        <w:gridCol w:w="1123"/>
        <w:gridCol w:w="300"/>
        <w:gridCol w:w="1053"/>
        <w:gridCol w:w="197"/>
        <w:gridCol w:w="203"/>
        <w:gridCol w:w="203"/>
        <w:gridCol w:w="109"/>
        <w:gridCol w:w="425"/>
        <w:gridCol w:w="1343"/>
        <w:gridCol w:w="279"/>
        <w:gridCol w:w="203"/>
        <w:gridCol w:w="203"/>
        <w:gridCol w:w="109"/>
        <w:gridCol w:w="303"/>
        <w:gridCol w:w="956"/>
        <w:gridCol w:w="739"/>
      </w:tblGrid>
      <w:tr>
        <w:trPr/>
        <w:tc>
          <w:tcPr>
            <w:tcW w:w="134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r>
      <w:tr>
        <w:trPr/>
        <w:tc>
          <w:tcPr>
            <w:tcW w:w="3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Successor</w:t>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Successor</w:t>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Predecessor</w:t>
            </w:r>
          </w:p>
        </w:tc>
      </w:tr>
      <w:tr>
        <w:trPr/>
        <w:tc>
          <w:tcPr>
            <w:tcW w:w="3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Year Ended December 31, 2025</w:t>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October 2, 2024 through December 31, 2024</w:t>
            </w:r>
          </w:p>
        </w:tc>
        <w:tc>
          <w:tcPr>
            <w:tcW w:w="5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January 1, 2024 through October 1, 2024</w:t>
            </w:r>
          </w:p>
        </w:tc>
      </w:tr>
      <w:tr>
        <w:trPr/>
        <w:tc>
          <w:tcPr>
            <w:tcW w:w="3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Cash Flows Used in Operating Activities</w:t>
            </w:r>
          </w:p>
        </w:tc>
        <w:tc>
          <w:tcPr>
            <w:tcW w:w="15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Net loss</w:t>
            </w:r>
          </w:p>
        </w:tc>
        <w:tc>
          <w:tcPr>
            <w:tcW w:w="3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105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(475,350)</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13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(70,093)</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9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(28,198)</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2"/>
              </w:rPr>
            </w:pPr>
            <w:r>
              <w:rPr>
                <w:rFonts w:ascii="Times New Roman;serif" w:hAnsi="Times New Roman;serif"/>
                <w:b w:val="false"/>
                <w:i/>
                <w:color w:val="000000"/>
                <w:sz w:val="12"/>
              </w:rPr>
              <w:t>Adjustments to reconcile net loss to net cash used in operating activities:</w:t>
            </w:r>
          </w:p>
        </w:tc>
        <w:tc>
          <w:tcPr>
            <w:tcW w:w="15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Stock-based compensation</w:t>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27,872 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16,338 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1,056 </w:t>
            </w:r>
          </w:p>
        </w:tc>
        <w:tc>
          <w:tcPr>
            <w:tcW w:w="739"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Interest income on debt securities - related party</w:t>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(394)</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(106)</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(110)</w:t>
            </w:r>
          </w:p>
        </w:tc>
        <w:tc>
          <w:tcPr>
            <w:tcW w:w="739"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Change in fair value of financial liabilities</w:t>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(16,146)</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20,946 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478 </w:t>
            </w:r>
          </w:p>
        </w:tc>
        <w:tc>
          <w:tcPr>
            <w:tcW w:w="739"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Net loss on investments - due to related parties</w:t>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468 </w:t>
            </w:r>
          </w:p>
        </w:tc>
        <w:tc>
          <w:tcPr>
            <w:tcW w:w="739"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Write-off of loan commitment fee asset</w:t>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10,041 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Non-cash interest expense on notes payable</w:t>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6,588 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248 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351 </w:t>
            </w:r>
          </w:p>
        </w:tc>
        <w:tc>
          <w:tcPr>
            <w:tcW w:w="739"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Net gain on investments</w:t>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(131)</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(11,547)</w:t>
            </w:r>
          </w:p>
        </w:tc>
        <w:tc>
          <w:tcPr>
            <w:tcW w:w="739"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Accrued unpaid interest on note payable</w:t>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336 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69 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930 </w:t>
            </w:r>
          </w:p>
        </w:tc>
        <w:tc>
          <w:tcPr>
            <w:tcW w:w="739"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Equity method investment loss (income)</w:t>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12,592 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902 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(893)</w:t>
            </w:r>
          </w:p>
        </w:tc>
        <w:tc>
          <w:tcPr>
            <w:tcW w:w="739"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Realized gain on conversion of available for sale investments</w:t>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(1,507)</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39"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Loss on extinguishment of debt</w:t>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16,064 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Loss on extinguishment of related party debt</w:t>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3,538 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39"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Loss on conversion of promissory notes</w:t>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1,119 </w:t>
            </w:r>
          </w:p>
        </w:tc>
        <w:tc>
          <w:tcPr>
            <w:tcW w:w="739"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Deferred income taxes</w:t>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(13,450)</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(3,301)</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432 </w:t>
            </w:r>
          </w:p>
        </w:tc>
        <w:tc>
          <w:tcPr>
            <w:tcW w:w="739"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Depreciation and amortization</w:t>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22,506 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5,455 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146 </w:t>
            </w:r>
          </w:p>
        </w:tc>
        <w:tc>
          <w:tcPr>
            <w:tcW w:w="739"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Goodwill impairment</w:t>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346,557 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39"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Other costs, net</w:t>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195 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64 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185 </w:t>
            </w:r>
          </w:p>
        </w:tc>
        <w:tc>
          <w:tcPr>
            <w:tcW w:w="739"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2"/>
              </w:rPr>
            </w:pPr>
            <w:r>
              <w:rPr>
                <w:rFonts w:ascii="Times New Roman;serif" w:hAnsi="Times New Roman;serif"/>
                <w:b w:val="false"/>
                <w:i/>
                <w:color w:val="000000"/>
                <w:sz w:val="12"/>
              </w:rPr>
              <w:t>Changes in operating assets and liabilities:</w:t>
            </w:r>
          </w:p>
        </w:tc>
        <w:tc>
          <w:tcPr>
            <w:tcW w:w="15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Accounts receivable</w:t>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(811)</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(166)</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(117)</w:t>
            </w:r>
          </w:p>
        </w:tc>
        <w:tc>
          <w:tcPr>
            <w:tcW w:w="739"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Prepaid expenses and other current assets</w:t>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(11,676)</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(1,301)</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(1,353)</w:t>
            </w:r>
          </w:p>
        </w:tc>
        <w:tc>
          <w:tcPr>
            <w:tcW w:w="739"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Inventory</w:t>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3,574 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(2,354)</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(2,824)</w:t>
            </w:r>
          </w:p>
        </w:tc>
        <w:tc>
          <w:tcPr>
            <w:tcW w:w="739"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Accounts payable</w:t>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(1,392)</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(11,211)</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6,013 </w:t>
            </w:r>
          </w:p>
        </w:tc>
        <w:tc>
          <w:tcPr>
            <w:tcW w:w="739"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Accrued employee benefits</w:t>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1,727 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1,656 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3,838 </w:t>
            </w:r>
          </w:p>
        </w:tc>
        <w:tc>
          <w:tcPr>
            <w:tcW w:w="739"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Accrued expenses</w:t>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(480)</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(484)</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674 </w:t>
            </w:r>
          </w:p>
        </w:tc>
        <w:tc>
          <w:tcPr>
            <w:tcW w:w="739"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Stock-based compensation liability</w:t>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(921)</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1,160 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Income taxes payable</w:t>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39"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Other current liabilities</w:t>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(358)</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(77)</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(146)</w:t>
            </w:r>
          </w:p>
        </w:tc>
        <w:tc>
          <w:tcPr>
            <w:tcW w:w="739"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Contract liabilities</w:t>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947 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39"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Obligation to issue equity</w:t>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3,000 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10,920 </w:t>
            </w:r>
          </w:p>
        </w:tc>
        <w:tc>
          <w:tcPr>
            <w:tcW w:w="739"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Other assets</w:t>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(61)</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(20)</w:t>
            </w:r>
          </w:p>
        </w:tc>
        <w:tc>
          <w:tcPr>
            <w:tcW w:w="739"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Patent installment payable</w:t>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(525)</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(250)</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2"/>
              </w:rPr>
            </w:pPr>
            <w:r>
              <w:rPr>
                <w:rFonts w:ascii="Times New Roman;serif" w:hAnsi="Times New Roman;serif"/>
                <w:b/>
                <w:color w:val="000000"/>
                <w:sz w:val="12"/>
              </w:rPr>
              <w:t xml:space="preserve">Net Cash Used in Operating Activities </w:t>
            </w:r>
          </w:p>
        </w:tc>
        <w:tc>
          <w:tcPr>
            <w:tcW w:w="13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(80,683)</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(29,214)</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(18,848)</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3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Cash Flows (Used in) Provided by Investing Activities</w:t>
            </w:r>
          </w:p>
        </w:tc>
        <w:tc>
          <w:tcPr>
            <w:tcW w:w="15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0"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204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998" w:type="dxa"/>
            <w:gridSpan w:val="3"/>
            <w:tcBorders/>
            <w:vAlign w:val="center"/>
          </w:tcPr>
          <w:p>
            <w:pPr>
              <w:pStyle w:val="TableContents"/>
              <w:bidi w:val="0"/>
              <w:spacing w:before="0" w:after="283"/>
              <w:jc w:val="left"/>
              <w:rPr>
                <w:sz w:val="4"/>
                <w:szCs w:val="4"/>
              </w:rPr>
            </w:pPr>
            <w:r>
              <w:rPr>
                <w:sz w:val="4"/>
                <w:szCs w:val="4"/>
              </w:rPr>
            </w:r>
          </w:p>
        </w:tc>
      </w:tr>
      <w:tr>
        <w:trPr/>
        <w:tc>
          <w:tcPr>
            <w:tcW w:w="3580"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204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998" w:type="dxa"/>
            <w:gridSpan w:val="3"/>
            <w:tcBorders/>
            <w:vAlign w:val="center"/>
          </w:tcPr>
          <w:p>
            <w:pPr>
              <w:pStyle w:val="TableContents"/>
              <w:bidi w:val="0"/>
              <w:spacing w:before="0" w:after="283"/>
              <w:ind w:left="0" w:right="0" w:firstLine="270"/>
              <w:jc w:val="left"/>
              <w:rPr>
                <w:sz w:val="4"/>
                <w:szCs w:val="4"/>
              </w:rPr>
            </w:pPr>
            <w:r>
              <w:rPr>
                <w:sz w:val="4"/>
                <w:szCs w:val="4"/>
              </w:rPr>
            </w:r>
          </w:p>
        </w:tc>
      </w:tr>
      <w:tr>
        <w:trPr/>
        <w:tc>
          <w:tcPr>
            <w:tcW w:w="3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Investment in available-for-sale debt securities - equity method investee</w:t>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(2,708)</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Investment in debt securities - equity method investee</w:t>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(7,400)</w:t>
            </w:r>
          </w:p>
        </w:tc>
        <w:tc>
          <w:tcPr>
            <w:tcW w:w="739"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Advances to equity method investee</w:t>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(4,240)</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(135)</w:t>
            </w:r>
          </w:p>
        </w:tc>
        <w:tc>
          <w:tcPr>
            <w:tcW w:w="739"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Acquisition of property, plant and equipment</w:t>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(1,417)</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(266)</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(736)</w:t>
            </w:r>
          </w:p>
        </w:tc>
        <w:tc>
          <w:tcPr>
            <w:tcW w:w="739"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Acquisition of intangible assets</w:t>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(30)</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Acquisition of net assets, net of cash acquired, through business combination</w:t>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16 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39"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Proceeds from sale of investments</w:t>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2,314 </w:t>
            </w:r>
          </w:p>
        </w:tc>
        <w:tc>
          <w:tcPr>
            <w:tcW w:w="739"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Cash withdrawn from trust as a result of business combination</w:t>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11,342 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 xml:space="preserve">Net Cash (Used in) Provided by Investing Activities </w:t>
            </w:r>
          </w:p>
        </w:tc>
        <w:tc>
          <w:tcPr>
            <w:tcW w:w="13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(4,125)</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6,822</w:t>
            </w:r>
            <w:r>
              <w:rPr>
                <w:color w:val="000000"/>
              </w:rPr>
              <w:t> </w:t>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(5,957)</w:t>
            </w:r>
          </w:p>
        </w:tc>
        <w:tc>
          <w:tcPr>
            <w:tcW w:w="7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3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Cash Flows Provided by Financing Activities</w:t>
            </w:r>
          </w:p>
        </w:tc>
        <w:tc>
          <w:tcPr>
            <w:tcW w:w="15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Proceeds from issuance of equity, net of issuance costs</w:t>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12,654 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15,383 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13,122 </w:t>
            </w:r>
          </w:p>
        </w:tc>
        <w:tc>
          <w:tcPr>
            <w:tcW w:w="7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Proceeds from the issuance of equity to non-controlling interest, net of issuance costs</w:t>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71,377 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4,169 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13,859 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Proceeds from the issuance of convertible promissory note</w:t>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4,350 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Proceeds from the issuance of term convertible notes</w:t>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14,950 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Proceeds from issuance of debt securities, net of issuance costs</w:t>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40,500 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19,455 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Payment of debts</w:t>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(4,617)</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(250)</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(540)</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0"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204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998" w:type="dxa"/>
            <w:gridSpan w:val="3"/>
            <w:tcBorders/>
            <w:vAlign w:val="center"/>
          </w:tcPr>
          <w:p>
            <w:pPr>
              <w:pStyle w:val="TableContents"/>
              <w:bidi w:val="0"/>
              <w:spacing w:before="0" w:after="283"/>
              <w:jc w:val="left"/>
              <w:rPr>
                <w:sz w:val="4"/>
                <w:szCs w:val="4"/>
              </w:rPr>
            </w:pPr>
            <w:r>
              <w:rPr>
                <w:sz w:val="4"/>
                <w:szCs w:val="4"/>
              </w:rPr>
            </w:r>
          </w:p>
        </w:tc>
      </w:tr>
      <w:tr>
        <w:trPr/>
        <w:tc>
          <w:tcPr>
            <w:tcW w:w="3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Distributions to Stockholders</w:t>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(76)</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(663)</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Proceeds from the issuance of promissory notes to related parties</w:t>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12,000 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Repayment of promissory note</w:t>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(4,628)</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2"/>
              </w:rPr>
            </w:pPr>
            <w:r>
              <w:rPr>
                <w:rFonts w:ascii="Times New Roman;serif" w:hAnsi="Times New Roman;serif"/>
                <w:b/>
                <w:color w:val="000000"/>
                <w:sz w:val="12"/>
              </w:rPr>
              <w:t xml:space="preserve">Cash Flows Provided by Financing Activities </w:t>
            </w:r>
          </w:p>
        </w:tc>
        <w:tc>
          <w:tcPr>
            <w:tcW w:w="13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139,138</w:t>
            </w:r>
            <w:r>
              <w:rPr>
                <w:color w:val="000000"/>
              </w:rPr>
              <w:t>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33,466</w:t>
            </w:r>
            <w:r>
              <w:rPr>
                <w:color w:val="000000"/>
              </w:rPr>
              <w:t> </w:t>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38,441</w:t>
            </w:r>
            <w:r>
              <w:rPr>
                <w:color w:val="000000"/>
              </w:rPr>
              <w:t> </w:t>
            </w:r>
          </w:p>
        </w:tc>
        <w:tc>
          <w:tcPr>
            <w:tcW w:w="7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3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Net Increase in Cash, Cash Equivalents and Restricted Cash</w:t>
            </w:r>
          </w:p>
        </w:tc>
        <w:tc>
          <w:tcPr>
            <w:tcW w:w="13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54,330</w:t>
            </w:r>
            <w:r>
              <w:rPr>
                <w:color w:val="000000"/>
              </w:rPr>
              <w:t>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11,074</w:t>
            </w:r>
            <w:r>
              <w:rPr>
                <w:color w:val="000000"/>
              </w:rPr>
              <w:t> </w:t>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13,636</w:t>
            </w:r>
            <w:r>
              <w:rPr>
                <w:color w:val="000000"/>
              </w:rPr>
              <w:t> </w:t>
            </w:r>
          </w:p>
        </w:tc>
        <w:tc>
          <w:tcPr>
            <w:tcW w:w="7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Cash, Cash Equivalents and Restricted Cash Beginning of period</w:t>
            </w:r>
          </w:p>
        </w:tc>
        <w:tc>
          <w:tcPr>
            <w:tcW w:w="13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11,119 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45 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2,575 </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4"/>
              </w:rPr>
              <w:t>Cash, Cash Equivalents and Restricted Cash End of period</w:t>
            </w:r>
            <w:r>
              <w:rPr>
                <w:color w:val="000000"/>
              </w:rPr>
              <w:t xml:space="preserve"> </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10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65,449</w:t>
            </w:r>
            <w:r>
              <w:rPr>
                <w:color w:val="000000"/>
              </w:rPr>
              <w:t>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13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11,119</w:t>
            </w:r>
            <w:r>
              <w:rPr>
                <w:color w:val="000000"/>
              </w:rPr>
              <w:t> </w:t>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9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16,211</w:t>
            </w:r>
            <w:r>
              <w:rPr>
                <w:color w:val="000000"/>
              </w:rPr>
              <w:t> </w:t>
            </w:r>
          </w:p>
        </w:tc>
        <w:tc>
          <w:tcPr>
            <w:tcW w:w="7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120"/>
        <w:jc w:val="left"/>
        <w:rPr/>
      </w:pPr>
      <w:hyperlink w:anchor="i507f7219d73d42a58f688d408612ee4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1718"/>
        <w:gridCol w:w="1446"/>
        <w:gridCol w:w="1455"/>
        <w:gridCol w:w="354"/>
        <w:gridCol w:w="796"/>
        <w:gridCol w:w="213"/>
        <w:gridCol w:w="109"/>
        <w:gridCol w:w="109"/>
        <w:gridCol w:w="109"/>
        <w:gridCol w:w="486"/>
        <w:gridCol w:w="974"/>
        <w:gridCol w:w="297"/>
        <w:gridCol w:w="109"/>
        <w:gridCol w:w="109"/>
        <w:gridCol w:w="109"/>
        <w:gridCol w:w="311"/>
        <w:gridCol w:w="803"/>
        <w:gridCol w:w="698"/>
      </w:tblGrid>
      <w:tr>
        <w:trPr/>
        <w:tc>
          <w:tcPr>
            <w:tcW w:w="1718"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Predecessor</w:t>
            </w:r>
          </w:p>
        </w:tc>
      </w:tr>
      <w:tr>
        <w:trPr/>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Year Ended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October 2, 2024 through 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January 1, 2024 through October 1, 2024</w:t>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Supplemental Cash Flow Information</w:t>
            </w:r>
          </w:p>
        </w:tc>
        <w:tc>
          <w:tcPr>
            <w:tcW w:w="13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Cash paid for interest</w:t>
            </w:r>
          </w:p>
        </w:tc>
        <w:tc>
          <w:tcPr>
            <w:tcW w:w="3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9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991 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1,070 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Supplemental Disclosure of Noncash Financing Information</w:t>
            </w:r>
          </w:p>
        </w:tc>
        <w:tc>
          <w:tcPr>
            <w:tcW w:w="1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Accretion of redeemable units to redemption value</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11,950 </w:t>
            </w:r>
          </w:p>
        </w:tc>
        <w:tc>
          <w:tcPr>
            <w:tcW w:w="698"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Debt discount and embedded derivative upon issuance</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units to non-controlling interest in exchange of convertible promissory notes</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7,324 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Conversion of working capital loans to equity method investees into investments in debt securities - related party</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4,375 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2,600 </w:t>
            </w:r>
          </w:p>
        </w:tc>
        <w:tc>
          <w:tcPr>
            <w:tcW w:w="6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Transfer of liability warrants to equity warrants in the Business Combination</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1,265 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Initial recognition of loan commitment fee</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16,190 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Transfer of loan commitment fee asset</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6,694 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Recognition of right of use asset and corresponding lease liability</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927 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98"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Extinguishment of debt with Series C Preferred Stock</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14,000 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Contribution of Series C Preferred Stock to equity method investee</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5,783 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98"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Conversion of AFX available-for-sale term loan into equity method investments</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8,757 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common stock as repayment of convertible debt</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47,000 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98"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stock in exchange for services</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4,102 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250 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Conversion of preferred stock into common stock</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36,910 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98"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Transfer of Series C Preferred Stock from Mezzanine to Stockholders' equity</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1,440 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Embedded derivative in association with Convertible Debentures</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1,774 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98"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Equity reallocation between non-controlling interest and additional paid-in capital</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36,963 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Embedded derivative liability derecognition</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3,297 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120"/>
        <w:jc w:val="left"/>
        <w:rPr/>
      </w:pPr>
      <w:hyperlink w:anchor="i507f7219d73d42a58f688d408612ee4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Note 1. Nature of Business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Unless the context otherwise requires, references herein to "Innventure", "we", "us", "our" and "the Company" refer to the business and operations of Innventure LLC and its consolidated subsidiaries (the “Predecessor”) for all periods prior to the Closing (as defined below) and to the business and operations of Innventure, Inc. and its consolidated subsidiaries (the “Successor”) for all periods after Closing.</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Innventure is an industrial growth conglomerate that founds, funds, and operates companies with a focus on commercializing transformative, sustainable technology solutions acquired or licensed from technology innovators, which are typically Multinational Corporations (‘‘MNCs’’), with the intent to maximize value for investors and other stakeholders through positive cash flow generated through long-term ownership of operating subsidiaries. As owner-operators, our goal is to take what we believe to be breakthrough technologies that have advanced beyond proof of concept from evaluation to scaled commercialization utilizing an approach designed to help mitigate risk in collaboration with the MNCs (our channel partner(s)), as we build disruptive companies that we believe have the potential to achieve a target enterprise value of at least $1 billion. We define ‘‘disruptive’’ as innovations that, in our opinion, have the ability to significantly change the way businesses, industries, markets, and/or consumers operate. Innventure, Inc., is headquartered in Orlando, Florida.</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Business Combination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24, 2023, Learn SPAC HoldCo, Inc. (“Holdco”), a Delaware corporation and direct, wholly-owned subsidiary of Learn CW Investment Corporation (“Learn CW”), a Cayman Islands exempted company, LCW Merger Sub, Inc. (“LCW Merger Sub”), a Delaware corporation and direct, wholly-owned subsidiary of Holdco, and Innventure Merger Sub, LLC (“Innventure Merger Sub” and together with LCW Merger Sub, the “Merger Subs”), a Delaware limited liability company and direct, wholly-owned subsidiary of Holdco entered into a Business Combination Agreement (the “Business Combination Agreement”) with Innventure LLC, a Delaware limited liability company.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further discussed below and in Note 8. Business Combinations, on October 2, 2024 (the “Closing Date” or “Closing”), Learn CW and Innventure LLC consummated a business combination (the “Business Combination”) pursuant to the terms of the Business Combination Agreement. Following the Closing, both Learn CW and Innventure LLC became subsidiaries of Holdco, Holdco changed its name to “Innventure, Inc.” and became a publicly traded company. Holdco was determined to be the accounting acquirer.</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Both Learn CW and Holdco, a direct wholly-owned subsidiary of Learn CW prior to the Business Combination, were created for the purpose of consummating a business combination. Innventure, Inc. and its subsidiaries is the successor to Innventure LLC following the Business Combination and is a Delaware corporation, whose common stock is listed and traded on the Nasdaq Global Market (“Nasdaq”). Following the Business Combination, the Company continues the business of Innventure LLC. The information provided in this Annual Report on Form 10-K reflects two distinct periods, the period up to the Closing Date labeled as the Predecessor and the period including and after that date labeled as the Successor. The Business Combination was accounted for using the acquisition method of accounting and the Successor financial statements reflect a new basis of accounting that is based on the fair value of the net assets acquired. As a result of the application of the acquisition method of accounting as of the Closing Date, the accompanying Consolidated Financial Statements include a black line division which indicates that the Predecessor and Successor reporting entities shown are presented on a different basis and are therefore, not comparable.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120"/>
        <w:jc w:val="left"/>
        <w:rPr/>
      </w:pPr>
      <w:hyperlink w:anchor="i507f7219d73d42a58f688d408612ee4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0"/>
        <w:jc w:val="center"/>
        <w:rPr/>
      </w:pPr>
      <w:r>
        <w:rPr/>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Note 2. Accounting Policies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Basis of Presentation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consolidated financial statements of the Company are prepared in accordance with U.S. generally accepted accounting principles (“GAAP”) and in accordance with the rules and regulations of the Securities and Exchange Commission (“SEC”). The Successor consolidated financial statements include the accounts of the Company, its wholly owned and majority-owned subsidiaries and entities in which the Company is deemed to have a direct or indirect controlling financial interest based on either a variable interest model or voting interest model. The Predecessor consolidated financial statements include all accounts of Innventure LLC and its consolidated subsidiaries. All intercompany transactions and balances have been eliminated in consolidation.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we identified an error and recorded an immaterial out of period adjustment of $12.4 million to correct an overstatement of Additional paid-in capital, an immaterial out of period adjustment of $4.5 million to correct understatement of Net loss attributable to Innventure, Inc. stockholders and an immaterial out of period adjustment of $16.9 million to correct an understatement of Non-controlling interest. The impact of the adjustments are not material to the consolidated financial statements for any interim or annual periods prior to December 31, 2025 nor the current financial period. The out of period adjustment to Additional paid-in capital is included in Non-controlling interest issued and related transfers within the condensed consolidated statements of changes in mezzanine and stockholders' equity (deficit) and the adjustment related to Net loss attributable to Innventure, Inc. within Comprehensive loss attributable to non-controlling interest on the consolidated statements of operations and comprehensive income (loss).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Going Concern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Company had a cash balance of $60.4 million, accumulated deficit of $371.6 million and a working capital deficit of $6.9 million. During the year ended December 31, 2025 the Company incurred a net loss of $475.4 million. Management believes the Company will continue to incur losses and negative cash flows from operating activities for the foreseeable future and will need additional capital or debt financing to proceed with its business plans. Additionally, the future value of investments held is unpredictable and subject to market events outside of the Company’s control.</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connection with the Company’s assessment of going concern considerations, management has determined that in order to maintain its current level of operations, the Company will require additional working capital from cash flows from operations, the sale of its capital and/or issuance of debt. The Company intends to obtain additional financing in the future to proceed with its business plans. If the Company is unable to acquire additional working capital, it will be required to significantly reduce its current level of operations.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accompanying consolidated financial statements have been prepared assuming that the Company will continue as a going concern within one year after the date of the accompanying consolidated financial statements are issued; however, the above conditions raise substantial doubt about the Company’s ability to do so. The consolidated financial statements do not include any adjustments to reflect the possible future effects on the recoverability and classification of assets or the amounts and classifications of liabilities that may result should the Company be unable to continue as a going concern. There can be no assurance that management will be successful in implementing its business plan or that the successful implementation of such business plan will improve our operating results.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preparation of consolidated financial statements in conformity with GAAP requires management to make estimates and assumptions that affect certain reported amounts and disclosures. Management bases its estimates on historical experience and on various other factors it believes to be reasonable under the circumstances, the results of which form the basis for making judgments about the carrying values of assets and liabilities. Accordingly, actual results could differ from those estimates.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120"/>
        <w:jc w:val="left"/>
        <w:rPr/>
      </w:pPr>
      <w:hyperlink w:anchor="i507f7219d73d42a58f688d408612ee4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0"/>
        <w:jc w:val="center"/>
        <w:rPr/>
      </w:pPr>
      <w:r>
        <w:rPr/>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Fair Value Measurements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measures the fair value of assets and liabilities on a recurring and nonrecurring basis according to a fair value hierarchy that prioritizes the inputs to valuation techniques used to measure fair value and requires an entity to maximize the use of observable inputs and minimize the use of unobservable inputs. The Company categorizes each of its fair value measurements in one of these three levels based on the lowest level input that is significant to the fair value measurement in its entirety. These levels are: </w:t>
      </w:r>
    </w:p>
    <w:p>
      <w:pPr>
        <w:pStyle w:val="TextBody"/>
        <w:bidi w:val="0"/>
        <w:spacing w:lineRule="auto" w:line="288" w:before="120" w:after="120"/>
        <w:ind w:left="0" w:right="0" w:firstLine="360"/>
        <w:jc w:val="both"/>
        <w:rPr/>
      </w:pPr>
      <w:r>
        <w:rPr>
          <w:rFonts w:ascii="Times New Roman;serif" w:hAnsi="Times New Roman;serif"/>
          <w:b/>
          <w:color w:val="000000"/>
          <w:sz w:val="20"/>
        </w:rPr>
        <w:t>Level 1</w:t>
      </w:r>
      <w:r>
        <w:rPr>
          <w:color w:val="000000"/>
        </w:rPr>
        <w:t xml:space="preserve"> – </w:t>
      </w:r>
      <w:r>
        <w:rPr>
          <w:rFonts w:ascii="Times New Roman;serif" w:hAnsi="Times New Roman;serif"/>
          <w:b w:val="false"/>
          <w:color w:val="000000"/>
          <w:sz w:val="20"/>
        </w:rPr>
        <w:t>Quoted prices in active markets for identical assets or liabilities.</w:t>
      </w:r>
    </w:p>
    <w:p>
      <w:pPr>
        <w:pStyle w:val="TextBody"/>
        <w:bidi w:val="0"/>
        <w:spacing w:lineRule="auto" w:line="288" w:before="120" w:after="120"/>
        <w:jc w:val="both"/>
        <w:rPr/>
      </w:pPr>
      <w:r>
        <w:rPr>
          <w:rFonts w:ascii="Times New Roman;serif" w:hAnsi="Times New Roman;serif"/>
          <w:b/>
          <w:color w:val="000000"/>
          <w:sz w:val="20"/>
        </w:rPr>
        <w:t>Level 2</w:t>
      </w:r>
      <w:r>
        <w:rPr>
          <w:color w:val="000000"/>
        </w:rPr>
        <w:t xml:space="preserve"> – </w:t>
      </w:r>
      <w:r>
        <w:rPr>
          <w:rFonts w:ascii="Times New Roman;serif" w:hAnsi="Times New Roman;serif"/>
          <w:b w:val="false"/>
          <w:color w:val="000000"/>
          <w:sz w:val="20"/>
        </w:rPr>
        <w:t>Observable inputs other than quoted prices in Level 1, such as quoted prices for similar assets or liabilities in active markets; quoted prices in markets that are not active; or other inputs that are observable or can be corroborated by observable market data.</w:t>
      </w:r>
    </w:p>
    <w:p>
      <w:pPr>
        <w:pStyle w:val="TextBody"/>
        <w:bidi w:val="0"/>
        <w:spacing w:lineRule="auto" w:line="288" w:before="120" w:after="120"/>
        <w:jc w:val="both"/>
        <w:rPr/>
      </w:pPr>
      <w:r>
        <w:rPr>
          <w:rFonts w:ascii="Times New Roman;serif" w:hAnsi="Times New Roman;serif"/>
          <w:b/>
          <w:color w:val="000000"/>
          <w:sz w:val="20"/>
        </w:rPr>
        <w:t>Level 3</w:t>
      </w:r>
      <w:r>
        <w:rPr>
          <w:color w:val="000000"/>
        </w:rPr>
        <w:t xml:space="preserve"> – </w:t>
      </w:r>
      <w:r>
        <w:rPr>
          <w:rFonts w:ascii="Times New Roman;serif" w:hAnsi="Times New Roman;serif"/>
          <w:b w:val="false"/>
          <w:color w:val="000000"/>
          <w:sz w:val="20"/>
        </w:rPr>
        <w:t>Unobservable inputs that are supported by little or no market activity and reflect management’s best estimate of what market participants would use in pricing the asset or liability. Consideration is given to the risk inherent in the valuation technique and the risk inherent in the inputs to the model.</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Investments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Equity Method Investments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Equity method investments are investments where the Company does not consolidate the investee, but can exert significant influence over the financial and operating policies of the investee.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carrying value of our equity method investments is determined based on amounts invested by the Company, adjusted for the Company’s share in the earnings or losses of each investee, after consideration of contractual arrangements that govern allocations of income or loss, less distributions received. For investments where the specified allocations of income or loss are different from the allocation of cash from operations and on liquidation, the Company utilizes the hypothetical liquidation book value method to allocate income or loss from the equity method investment. The Company evaluates its equity method investments for impairment whenever events or changes in circumstances indicate that the carrying amounts of such investments may not be recoverable.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Cash distributions received as a result of the Company’s share of cumulative earnings are classified as operating activities. Cash distributions, if any, received that are in excess of the Company’s share of cumulative earnings or losses are classified as investing activities.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Exchange-traded Investments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Exchange-traded equity investments are generally carried at fair value on the consolidated balance sheets with changes in the fair value recorded through net income (“FVTNI”) within non-operating income (expense).</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Variable Interest and Voting Interest Entities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performs an analysis of its investments to determine if they are either a Variable Interest Entity (“VIE”) or a Voting Interest Entity (“VOE”). Factors considered in this analysis include the entity’s legal organization; the entity’s capital structure and sufficiency of equity at risk; the rights of equity investment holders; the Company’s contractual involvement with, and economic interest in, the entity; and any related party or de facto agent implications of the Company’s involvement with the entity. Entities that are determined to be VIEs are consolidated if the Company is the primary beneficiary (“PB”) of the entity. If the Company is not deemed to be the PB of a VIE, the Company accounts for the investment or other variable interests in a VIE as either an equity method investment or other investment, as applicable. VOEs are typically consolidated if the Company holds the majority voting interest.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Upon the occurrence of certain events (such as changes in the investment or the governance structure), management reviews and reconsiders its previous conclusion regarding the status of an entity as a VIE or VOE, and when applicable, whether the Company continues to qualify as the PB of a VIE. Refer to Note 3. Investments for further discussion on investments in VIEs.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120"/>
        <w:jc w:val="left"/>
        <w:rPr/>
      </w:pPr>
      <w:hyperlink w:anchor="i507f7219d73d42a58f688d408612ee4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0"/>
        <w:jc w:val="center"/>
        <w:rPr/>
      </w:pPr>
      <w:r>
        <w:rPr/>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Impairments of Investments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Management periodically assesses equity method investments for impairment. If impairment exists, an impairment charge would be recorded for the excess of the carrying amount of the investment over its estimated fair value in the consolidated statements of operations and comprehensive income (loss).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Impairment evaluation considers qualitative factors, including the financial conditions and specific events related to an investee, that may indicate the fair value of the investment is less than its carrying value.</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Available-for-Sale Investments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Available-for-sale (“AFS”) debt securities are generally reported at estimated fair value, with unrealized gains and losses recorded in other comprehensive income (loss) on our consolidated statements of operations and comprehensive income (loss). AFS debt securities with an amortized cost basis in excess of estimated fair value are assessed to determine what amount of that difference, if any, is caused by expected credit losses. Allowance for credit losses on AFS debt securities are recognized as a charge in other loss on our consolidated statements of operations and comprehensive income (loss), and any remaining unrealized losses, net of taxes, are included in other comprehensive income (loss).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Cash, Cash Equivalents and Restricted Cash</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primarily consist of cash, money market funds and short-term highly liquid investments with original maturities of three months or less. The Company has concentrated credit risk for cash and cash equivalents by maintaining deposits in banks, which may, at times, exceed amounts covered by insurance provided by the US Federal Deposit Insurance Corporation and management continues to monitor the financial condition of the major financial institutions where these funds are held.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Cash that is restricted and not available for general operations is considered restricted cash. The Company's restricted cash is related to cash received through the Company's Class B Preferred Stock capital raise and held in escrow prior to finalization of the Class B Preferred Stock investment. As of December 31, 2025, the Company had restricted cash related to the capital raise of $5.0 million and, as of December 31, 2024, had no restricted cash.</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Additionally, the Company maintains certain compensating balances that may be withdrawn, but the availability of short-term lines of credit is dependent upon the maintenance of such compensating balances. As of December 31, 2025 and 2024, the Company had compensating balances of $0.1 million.</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Inventory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Inventories are stated at the lower of cost or net realizable value. Cost is determined principally under the average cost method.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periodically reviews its inventory and identifies that which is excess, slow moving and obsolete by considering factors such as inventory levels, expected product life and forecasted sales demand. Any identified excess, slow moving and obsolete inventory is written down to its net realizable value through a charge to cost of sales.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Property, Plant and Equipment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Property, plant and equipment is recorded at cost less accumulated depreciation. The Company depreciates the cost of property, plant and equipment using the straight-line method with depreciable lives of 10 years for Machinery &amp; equipment, 3 years for Computers &amp; office equipment and the lesser of useful life or the remaining lease terms for Leasehold improvements. The Company expenses normal maintenance and repair costs as incurred.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120"/>
        <w:jc w:val="left"/>
        <w:rPr/>
      </w:pPr>
      <w:hyperlink w:anchor="i507f7219d73d42a58f688d408612ee4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0"/>
        <w:jc w:val="center"/>
        <w:rPr/>
      </w:pPr>
      <w:r>
        <w:rPr/>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Impairment of Long-Lived Assets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assesses its property, plant and equipment and other long lived assets for impairment whenever events or changes in circumstances indicate the carrying amount of an asset may not be recoverable. The recoverability of assets to be held and used is measured by comparing the carrying amount of an asset to the future undiscounted net cash flows expected to be generated by the asset. In the event such an asset is considered impaired, the impairment to be recognized is measured by the amount by which the carrying value of the asset exceeds the estimated fair value of the asset. If such assets are not impaired, but their useful lives have decreased, the remaining net book value is depreciated over the revised useful life. Assets to be disposed of are reported at the lower of the carrying value of estimated fair value less estimated costs to sell.</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Intangible Assets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Intangible assets with finite lives are amortized over their estimated useful lives and reviewed for impairment whenever events or other changes in circumstances indicate that the carrying amount may not be recoverable.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If required, recoverability of these assets is determined by comparison of their carrying value to the estimated future undiscounted cash flows the assets are expected to generate over their remaining estimated useful lives. If such assets are considered to be impaired, the impairment to be recognized in earnings equals the amount by which the carrying value of the assets exceeds their estimated fair value determined by either a quoted market price, if any, or a value determined by utilizing a discounted cash flow technique.</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Goodwill reflects the excess purchase price over the fair value of net tangible and intangible assets acquired in a business combination.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Goodwill is evaluated for impairment annually, or more frequently if circumstances indicate a possible impairment. The Company compares the fair value of its reporting unit to its carrying value. If the carrying value of the net assets assigned to the reporting unit exceeds the fair value of its reporting unit, the Company would record an impairment loss equal to the difference. The Company operates in one operating segment which the Company considers to be its only reporting unit. There was a $346.6 million impairment of goodwill recognized for the year ended December 31, 2025 and no impairment recognized for the year ended December 31, 2024.</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Stock and Warrants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Stock may be classified as a liability, temporary capital (i.e., mezzanine capital) or permanent stockholders' equity. In order to determine the appropriate classification, an evaluation of the cash redemption and other features is required. Where there exists an absolute right of redemption presently or in the future, the units in question would be classified as a liability. If units are contingently redeemable upon the occurrence of an event that is outside of the issuer’s control, the units are classified as mezzanine capital. The probability that the redemption event will occur is irrelevant. If no redemption features exist, or if a contingent redemption feature is within the Company’s control, the capital unit would be considered permanent stockholders' equity.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accounts for warrants to acquire stock as either equity-classified or liability-classified instruments based on an assessment of the warrant’s specific terms. In order to determine the appropriate classification, consideration is given as to whether the warrants are indexed to the Company’s own common stock and whether the warrant holders could potentially require net cash settlement in a circumstance outside of the Company’s control, among other conditions. This assessment requires the use of judgment and is conducted at the time of warrant issuance and as of each reconsideration and balance sheet date while the warrants are outstanding.</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For issued or modified warrants that meet all of the criteria for stockholders' equity classification, the warrants are recorded as a component of additional paid-in capital at fair value at the time of issuance. For issued or modified warrants that do not meet all of the criteria for stockholders' equity classification, the warrants are recorded as a liability at their initial fair value on the date of issuance and remeasured at fair value as of each reconsideration and balance sheet date thereafter. The change in fair value is recognized in the Company’s consolidated statements of operations and comprehensive income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120"/>
        <w:jc w:val="left"/>
        <w:rPr/>
      </w:pPr>
      <w:hyperlink w:anchor="i507f7219d73d42a58f688d408612ee4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0"/>
        <w:jc w:val="center"/>
        <w:rPr/>
      </w:pPr>
      <w:r>
        <w:rPr/>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Company’s product sales arrangements contain performance obligations satisfied at a point in time when control of the product transfers to the customer, based on the contractual terms. This typically occurs when title and risk and rewards of ownership have transferred to the customer. Revenue is recorded net of sales taxes, discounts, and expected returns. Sales discounts and other incentives are treated as variable consideration when estimating the revenue to be recognized.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earns management fees, consulting revenue and carried interest allocations from investment advisory services it provides to its customers. The Company considers the investment advisory services represent a single performance obligation. Management fees, generally 1-2% of capital committed to the Innventus ESG Fund I, L.P. (the “ESG Fund”), are recognized over time using the time-elapsed method, resulting in straight-line revenue recognition over the performance period. Management fees are considered variable consideration but are typically fully recognized at the end of each reporting period as they are not subject to clawback. Carried interest allocations, typically 10-20%, are recognized based on cumulative fund performance and are subject to achieving minimum return levels, usually 8%. These allocations are considered variable consideration and are recognized when a significant reversal is no longer probable.</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participates in multiple stock-based compensation plans which are further discussed in Note 14. Stock-based Compensation.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fair value of stock-based awards is measured on the grant date of the award and recognized as compensation expense over the period of service that generally coincides with the vesting period of the award. Service-based awards vest over the period defined in each individual grant agreement. For equity awards with a graded vesting schedule, compensation cost is recognized on a straight-line basis over the requisite service period of the entire award.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Expense related to grants of stock-based awards is included in the respective expense category in which the employee serves in the consolidated statements of operations and comprehensive income (loss). The Company recognizes forfeitures as they occur.</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Income Taxes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Prior to the Business Combination, Innventure LLC qualified as a partnership for federal income tax purposes that consolidated financial results with corporate subsidiaries within the financial statements. Consequently, federal income taxes were not payable or provided by Innventure LLC but various corporate subsidiaries were subject to corporate federal, state, and local taxes. Corporate income taxes were recorded for the period from January 1, 2024 through October 1, 2024.</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October 2, 2024, the Business Combination occurred which merged Innventure LLC into Innventure Merger Sub, LLC, a wholly owned subsidiary of the Company. The Company became a publicly traded entity and began being taxed as a corporation. The Company accounts for income taxes pursuant to the asset and liability method of ASC 740, Income Taxes, which requires the recognition of current tax liabilities or receivables for the amount of taxes that are estimated as payable or refundable for the current year, and deferred tax assets and liabilities for the expected future tax consequences attributable to temporary differences between the financial statement carrying amounts and their respective tax bases of assets and liabilities and the expected benefits of net operating loss and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operations in the period enacted. A valuation allowance is provided when it is more likely than not that a portion or all of a deferred tax asset will not be realized. The ultimate realization of deferred tax assets is dependent upon the generation of future taxable income and the reversal of deferred tax liabilities during the period in which related temporary differences become deductible.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120"/>
        <w:jc w:val="left"/>
        <w:rPr/>
      </w:pPr>
      <w:hyperlink w:anchor="i507f7219d73d42a58f688d408612ee4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0"/>
        <w:jc w:val="center"/>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follows the provisions of ASC 740-10 related to the accounting for uncertainty in income taxes recognized in an enterprise’s financial statements. ASC 740-10 prescribes a comprehensive model for the financial statement recognition, measurement, presentation and disclosure of uncertain tax positions taken or expected to be taken in income tax returns. The benefit of tax positions taken or expected to be taken in our income tax returns is recognized in the financial statements if such positions are more likely than not of being sustained upon examination by taxing authorities. Differences between tax positions taken or expected to be taken in a tax return and the benefit recognized and measured pursuant to the interpretation are referred to as “unrecognized benefits”. A liability is recognized (or amount of net operating loss carryover or amount of tax refundable is reduced) for an unrecognized tax benefit because it represents an enterprise’s potential future obligation to the taxing authority for a tax position that was not recognized as a result of applying the provisions of ASC 740-10. Interest costs and related penalties related to unrecognized tax benefits are required to be calculated, if applicable. As of December 31, 2025 and 2024, no liability for unrecognized tax benefits was required to be reported. The Company does not expect any significant changes in unrecognized tax benefits in the next year.</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Recently Adopted Accounting Pronouncements</w:t>
      </w:r>
    </w:p>
    <w:p>
      <w:pPr>
        <w:pStyle w:val="TextBody"/>
        <w:bidi w:val="0"/>
        <w:spacing w:lineRule="auto" w:line="288" w:before="120" w:after="120"/>
        <w:jc w:val="both"/>
        <w:rPr/>
      </w:pPr>
      <w:r>
        <w:rPr>
          <w:rFonts w:ascii="Times New Roman;serif" w:hAnsi="Times New Roman;serif"/>
          <w:b w:val="false"/>
          <w:color w:val="000000"/>
          <w:sz w:val="20"/>
        </w:rPr>
        <w:t xml:space="preserve">In December 2023, the FASB issued ASU 2023-09, </w:t>
      </w:r>
      <w:r>
        <w:rPr>
          <w:rFonts w:ascii="Times New Roman;serif" w:hAnsi="Times New Roman;serif"/>
          <w:b w:val="false"/>
          <w:i/>
          <w:color w:val="000000"/>
          <w:sz w:val="20"/>
        </w:rPr>
        <w:t>Income Taxes (Topic 740): Improvements to Income Tax Disclosures</w:t>
      </w:r>
      <w:r>
        <w:rPr>
          <w:color w:val="000000"/>
        </w:rPr>
        <w:t xml:space="preserve"> </w:t>
      </w:r>
      <w:r>
        <w:rPr>
          <w:rFonts w:ascii="Times New Roman;serif" w:hAnsi="Times New Roman;serif"/>
          <w:b w:val="false"/>
          <w:color w:val="000000"/>
          <w:sz w:val="20"/>
        </w:rPr>
        <w:t>("ASU 2023-09"), which requires disaggregated information about a reporting entity's effective tax rate reconciliation as well as information on income taxes paid to enhance the transparency and decision usefulness of income tax disclosures. The amendments in this ASU are effective for annual periods beginning after December 15, 2024 on a prospective basis. The Company adopted ASU 2023-09 for the year ended December 31, 2025. The Company has made the required disclosures related to this ASU within Note 16. Income taxes.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Recently Issued But Not Yet Adopted Accounting Standards</w:t>
      </w:r>
    </w:p>
    <w:p>
      <w:pPr>
        <w:pStyle w:val="TextBody"/>
        <w:bidi w:val="0"/>
        <w:spacing w:lineRule="auto" w:line="288" w:before="120" w:after="120"/>
        <w:jc w:val="both"/>
        <w:rPr/>
      </w:pPr>
      <w:r>
        <w:rPr>
          <w:rFonts w:ascii="Times New Roman;serif" w:hAnsi="Times New Roman;serif"/>
          <w:b w:val="false"/>
          <w:color w:val="000000"/>
          <w:sz w:val="20"/>
        </w:rPr>
        <w:t xml:space="preserve">In October 2023, the FASB issued ASU 2023-06, </w:t>
      </w:r>
      <w:r>
        <w:rPr>
          <w:rFonts w:ascii="Times New Roman;serif" w:hAnsi="Times New Roman;serif"/>
          <w:b w:val="false"/>
          <w:i/>
          <w:color w:val="000000"/>
          <w:sz w:val="20"/>
        </w:rPr>
        <w:t xml:space="preserve">Disclosure Improvements: Codification Amendments in Response to the SEC’s Disclosure Update and Simplification Initiative </w:t>
      </w:r>
      <w:r>
        <w:rPr>
          <w:rFonts w:ascii="Times New Roman;serif" w:hAnsi="Times New Roman;serif"/>
          <w:b w:val="false"/>
          <w:color w:val="000000"/>
          <w:sz w:val="20"/>
        </w:rPr>
        <w:t>(“ASU 2023-06”). This standard modifies the disclosure or presentation requirements of a variety of topics and aligns requirements with the SEC’s existing disclosure requirements. ASU 2023-06 is effective on the date each amendment is removed from Regulation S-X or Regulation S-K with early adoption prohibited. The Company will monitor the removal of various requirements from the current regulations in order to determine when to adopt the related amendments, but does not anticipate the adoption of the new guidance will have a material impact on the Company’s consolidated financial statements. The Company will continue to evaluate the impact of this guidance on its consolidated financial statements.</w:t>
      </w:r>
    </w:p>
    <w:p>
      <w:pPr>
        <w:pStyle w:val="TextBody"/>
        <w:bidi w:val="0"/>
        <w:spacing w:lineRule="auto" w:line="288" w:before="120" w:after="120"/>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 xml:space="preserve">Income Statement - Reporting Comprehensive Income - Expense Disaggregation Disclosures (Subtopic 220-40): Disaggregation of Income Statement Expenses </w:t>
      </w:r>
      <w:r>
        <w:rPr>
          <w:rFonts w:ascii="Times New Roman;serif" w:hAnsi="Times New Roman;serif"/>
          <w:b w:val="false"/>
          <w:color w:val="000000"/>
          <w:sz w:val="20"/>
        </w:rPr>
        <w:t>("ASU 2024-03"). In January 2025, the FASB issued Clarifying the Effective Date (“ASU 2025-01”) to add some clarity around the effective date of the guidance. ASU 2024-03 requires disclosures about specific types of expenses included in the expense captions presented on the face of the income statement as well as disclosures about selling expenses. The new standard is effective for fiscal years beginning after December 15, 2026, and for interim periods within fiscal years beginning after December 15, 2027. Early adoption is permitted. The amendments may be applied either prospectively, to financial statements issued after the effective date, or retrospectively, to all prior periods presented. The Company is currently evaluating the impact that the adoption of this accounting standard will have on its consolidated financial statements.</w:t>
      </w:r>
    </w:p>
    <w:p>
      <w:pPr>
        <w:pStyle w:val="TextBody"/>
        <w:bidi w:val="0"/>
        <w:spacing w:lineRule="auto" w:line="288" w:before="120" w:after="120"/>
        <w:jc w:val="both"/>
        <w:rPr/>
      </w:pPr>
      <w:r>
        <w:rPr>
          <w:rFonts w:ascii="Times New Roman;serif" w:hAnsi="Times New Roman;serif"/>
          <w:b w:val="false"/>
          <w:color w:val="000000"/>
          <w:sz w:val="20"/>
        </w:rPr>
        <w:t xml:space="preserve">In May 2025, the FASB issued ASU 2025-04, </w:t>
      </w:r>
      <w:r>
        <w:rPr>
          <w:rFonts w:ascii="Times New Roman;serif" w:hAnsi="Times New Roman;serif"/>
          <w:b w:val="false"/>
          <w:i/>
          <w:color w:val="000000"/>
          <w:sz w:val="20"/>
        </w:rPr>
        <w:t>Compensation—Stock Compensation (Topic 718) and Revenue from Contracts with Customers (Topic 606): Clarifications to Share-Based Consideration Payable to a Customer</w:t>
      </w:r>
      <w:r>
        <w:rPr>
          <w:rFonts w:ascii="Times New Roman;serif" w:hAnsi="Times New Roman;serif"/>
          <w:b w:val="false"/>
          <w:color w:val="000000"/>
          <w:sz w:val="20"/>
        </w:rPr>
        <w:t>, which reduces the diversity in practice and improves the decision usefulness and operability of the guidance for share-based consideration payable to a customer in conjunction with selling goods or services. The amendments in this ASU are effective for annual reporting periods (including interim reporting periods within annual reporting periods) beginning after December 15, 2026. Early adoption is permitted. The Company is currently evaluating the impact that the adoption of this accounting standard will have on its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120"/>
        <w:jc w:val="left"/>
        <w:rPr/>
      </w:pPr>
      <w:hyperlink w:anchor="i507f7219d73d42a58f688d408612ee4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0"/>
        <w:jc w:val="center"/>
        <w:rPr/>
      </w:pPr>
      <w:r>
        <w:rPr/>
      </w:r>
    </w:p>
    <w:p>
      <w:pPr>
        <w:pStyle w:val="TextBody"/>
        <w:bidi w:val="0"/>
        <w:spacing w:lineRule="auto" w:line="288" w:before="120" w:after="120"/>
        <w:jc w:val="both"/>
        <w:rPr/>
      </w:pPr>
      <w:r>
        <w:rPr>
          <w:rFonts w:ascii="Times New Roman;serif" w:hAnsi="Times New Roman;serif"/>
          <w:b w:val="false"/>
          <w:color w:val="000000"/>
          <w:sz w:val="20"/>
        </w:rPr>
        <w:t xml:space="preserve">In July 2025, the FASB issued ASU 2025-05, </w:t>
      </w:r>
      <w:r>
        <w:rPr>
          <w:rFonts w:ascii="Times New Roman;serif" w:hAnsi="Times New Roman;serif"/>
          <w:b w:val="false"/>
          <w:i/>
          <w:color w:val="000000"/>
          <w:sz w:val="20"/>
        </w:rPr>
        <w:t>Financial Instruments - Credit Losses (Topic 326): Measurement of Credit Losses for Accounts Receivable and Contract Assets</w:t>
      </w:r>
      <w:r>
        <w:rPr>
          <w:rFonts w:ascii="Times New Roman;serif" w:hAnsi="Times New Roman;serif"/>
          <w:b w:val="false"/>
          <w:color w:val="000000"/>
          <w:sz w:val="20"/>
        </w:rPr>
        <w:t>, which provides a practical expedient for the application of the current expected credit loss (“CECL”) model to current accounts receivable and contract assets. The amendments in this ASU are effective for the fiscal years beginning after December 15, 2025, and interim reporting periods within those annual reporting periods. Early adoption is permitted. If elected, the amendments in this ASU should be applied prospectively. The Company is currently evaluating the impact ASU 2025-05 will have on its consolidated financial statements.</w:t>
      </w:r>
    </w:p>
    <w:p>
      <w:pPr>
        <w:pStyle w:val="TextBody"/>
        <w:bidi w:val="0"/>
        <w:spacing w:lineRule="auto" w:line="288" w:before="120" w:after="180"/>
        <w:jc w:val="both"/>
        <w:rPr/>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Intangibles - Goodwill and Other - Internal-Use Software (Subtopic 350-40): Targeted Improvements to the Accounting for Internal-Use Software</w:t>
      </w:r>
      <w:r>
        <w:rPr>
          <w:rFonts w:ascii="Times New Roman;serif" w:hAnsi="Times New Roman;serif"/>
          <w:b w:val="false"/>
          <w:color w:val="000000"/>
          <w:sz w:val="20"/>
        </w:rPr>
        <w:t>, which increases the operability of the recognition guidance considering different methods of software development. The amendments in this ASU are effective for the fiscal years beginning after December 15, 2027, and interim reporting periods within those annual reporting periods. Early adoption is permitted as of the beginning of an annual reporting period. If elected, the amendments in this ASU should be applied prospectively. The Company is currently evaluating the impact ASU 2025-06 will have on its consolidated financial statements.</w:t>
      </w:r>
    </w:p>
    <w:p>
      <w:pPr>
        <w:pStyle w:val="TextBody"/>
        <w:bidi w:val="0"/>
        <w:spacing w:lineRule="auto" w:line="288" w:before="0" w:after="180"/>
        <w:jc w:val="both"/>
        <w:rPr/>
      </w:pPr>
      <w:r>
        <w:rPr>
          <w:rFonts w:ascii="Times New Roman;serif" w:hAnsi="Times New Roman;serif"/>
          <w:b w:val="false"/>
          <w:color w:val="000000"/>
          <w:sz w:val="20"/>
        </w:rPr>
        <w:t xml:space="preserve">In September 2025, the FASB issued ASU 2025-07, </w:t>
      </w:r>
      <w:r>
        <w:rPr>
          <w:rFonts w:ascii="Times New Roman;serif" w:hAnsi="Times New Roman;serif"/>
          <w:b w:val="false"/>
          <w:i/>
          <w:color w:val="000000"/>
          <w:sz w:val="20"/>
        </w:rPr>
        <w:t>Derivatives and Hedging (Topic 815) and Revenue from Contracts with Customers (Topic 606): Derivatives Scope Refinements and Scope Clarification for Share-Based Noncash Consideration from a Customer in a Revenue Contract</w:t>
      </w:r>
      <w:r>
        <w:rPr>
          <w:rFonts w:ascii="Times New Roman;serif" w:hAnsi="Times New Roman;serif"/>
          <w:b w:val="false"/>
          <w:color w:val="000000"/>
          <w:sz w:val="20"/>
        </w:rPr>
        <w:t>, which is expected to reduce the cost and complexity of evaluating whether contracts with features are derivatives, better portray the economics of those contracts in the financial statements, reduce diversity from the application of the current guidance and changing business environment, and to clarify Topic 606 applicability to share-based noncash consideration for the transfer of goods or services. The amendments in this ASU are effective for the fiscal years beginning after December 15, 2026, and interim reporting periods within those annual reporting periods. Early adoption is permitted. If elected, the amendments in this ASU should be applied prospectively. The Company is currently evaluating the impact ASU 2025-07 will have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Note 3. Investments</w:t>
      </w:r>
    </w:p>
    <w:tbl>
      <w:tblPr>
        <w:tblW w:w="6759" w:type="dxa"/>
        <w:jc w:val="left"/>
        <w:tblInd w:w="0" w:type="dxa"/>
        <w:tblLayout w:type="fixed"/>
        <w:tblCellMar>
          <w:top w:w="28" w:type="dxa"/>
          <w:left w:w="28" w:type="dxa"/>
          <w:bottom w:w="28" w:type="dxa"/>
          <w:right w:w="28" w:type="dxa"/>
        </w:tblCellMar>
      </w:tblPr>
      <w:tblGrid>
        <w:gridCol w:w="1064"/>
        <w:gridCol w:w="935"/>
        <w:gridCol w:w="940"/>
        <w:gridCol w:w="344"/>
        <w:gridCol w:w="1202"/>
        <w:gridCol w:w="178"/>
        <w:gridCol w:w="109"/>
        <w:gridCol w:w="109"/>
        <w:gridCol w:w="109"/>
        <w:gridCol w:w="339"/>
        <w:gridCol w:w="1183"/>
        <w:gridCol w:w="247"/>
      </w:tblGrid>
      <w:tr>
        <w:trPr/>
        <w:tc>
          <w:tcPr>
            <w:tcW w:w="1064"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0" w:type="dxa"/>
            <w:gridSpan w:val="9"/>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Equity-method investments</w:t>
            </w:r>
          </w:p>
        </w:tc>
        <w:tc>
          <w:tcPr>
            <w:tcW w:w="3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19,495 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17,547 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debt securities - AFS</w:t>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9,246 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11,187 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Total Investments </w:t>
            </w:r>
          </w:p>
        </w:tc>
        <w:tc>
          <w:tcPr>
            <w:tcW w:w="34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0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28,741</w:t>
            </w:r>
            <w:r>
              <w:rPr>
                <w:color w:val="000000"/>
              </w:rPr>
              <w:t> </w:t>
            </w:r>
          </w:p>
        </w:tc>
        <w:tc>
          <w:tcPr>
            <w:tcW w:w="17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8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28,734</w:t>
            </w:r>
            <w:r>
              <w:rPr>
                <w:color w:val="000000"/>
              </w:rPr>
              <w:t> </w:t>
            </w:r>
          </w:p>
        </w:tc>
        <w:tc>
          <w:tcPr>
            <w:tcW w:w="24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pPr>
      <w:r>
        <w:rPr>
          <w:rFonts w:ascii="Times New Roman;serif" w:hAnsi="Times New Roman;serif"/>
          <w:b/>
          <w:i/>
          <w:color w:val="000000"/>
          <w:sz w:val="20"/>
        </w:rPr>
        <w:t>Equity-method investments</w:t>
      </w:r>
      <w:r>
        <w:rPr>
          <w:color w:val="000000"/>
        </w:rPr>
        <w:t xml:space="preserve"> </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ESG Fund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ESG Fund is an investment company that follows a specialized basis of accounting established by GAAP. The Company’s general partnership interest in the ESG Fund is substantially illiquid. While the ESG Fund’s holdings are accounted for at fair value, the equity-method investment in the ESG Fund is adjusted to reflect the fair value of the underlying investments of the ESG Fund as of December 31, 2025 and 2024. The fair value of the underlying investments in the ESG Fund is based on the Company’s assessment, which takes into account expected cash flows, earnings multiples and/or comparisons to similar market transactions, among other factors. Valuation adjustments reflecting consideration of credit quality, concentration risk, sales restrictions and other liquidity factors are integral to valuing these instruments.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AeroFlexx</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determined that AeroFlexx has insufficient equity at risk to fund its operations, as of December 31, 2025 and 2024, and therefore will meet the definition of a VIE. The Company does not have power to direct AeroFlexx's operations. AeroFlexx’s core operations are not closely associated with the Company and it was not created specifically to provide substantially all benefits to Innventure. Therefore, the Company is not considered the primary beneficiary and does not consolidate AeroFlexx as a VIE. The Company accounts for its investments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120"/>
        <w:jc w:val="left"/>
        <w:rPr/>
      </w:pPr>
      <w:hyperlink w:anchor="i507f7219d73d42a58f688d408612ee4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0"/>
        <w:jc w:val="center"/>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AeroFlexx under the equity method and held a 37.1% and 34.1% interest in AeroFlexx as of December 31, 2025 and 2024, respectively.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Company’s carrying amounts and maximum exposure relating to AeroFlexx, were as follows (in thousands):</w:t>
      </w:r>
    </w:p>
    <w:tbl>
      <w:tblPr>
        <w:tblW w:w="10205" w:type="dxa"/>
        <w:jc w:val="left"/>
        <w:tblInd w:w="0" w:type="dxa"/>
        <w:tblLayout w:type="fixed"/>
        <w:tblCellMar>
          <w:top w:w="28" w:type="dxa"/>
          <w:left w:w="28" w:type="dxa"/>
          <w:bottom w:w="28" w:type="dxa"/>
          <w:right w:w="28" w:type="dxa"/>
        </w:tblCellMar>
      </w:tblPr>
      <w:tblGrid>
        <w:gridCol w:w="923"/>
        <w:gridCol w:w="787"/>
        <w:gridCol w:w="792"/>
        <w:gridCol w:w="279"/>
        <w:gridCol w:w="977"/>
        <w:gridCol w:w="144"/>
        <w:gridCol w:w="109"/>
        <w:gridCol w:w="109"/>
        <w:gridCol w:w="109"/>
        <w:gridCol w:w="386"/>
        <w:gridCol w:w="1349"/>
        <w:gridCol w:w="199"/>
        <w:gridCol w:w="109"/>
        <w:gridCol w:w="109"/>
        <w:gridCol w:w="109"/>
        <w:gridCol w:w="279"/>
        <w:gridCol w:w="977"/>
        <w:gridCol w:w="144"/>
        <w:gridCol w:w="109"/>
        <w:gridCol w:w="109"/>
        <w:gridCol w:w="109"/>
        <w:gridCol w:w="379"/>
        <w:gridCol w:w="1324"/>
        <w:gridCol w:w="285"/>
      </w:tblGrid>
      <w:tr>
        <w:trPr/>
        <w:tc>
          <w:tcPr>
            <w:tcW w:w="923"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2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5"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5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 type</w:t>
            </w:r>
          </w:p>
        </w:tc>
        <w:tc>
          <w:tcPr>
            <w:tcW w:w="1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Maximum Exposure to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Maximum Exposure to Loss</w:t>
            </w:r>
          </w:p>
        </w:tc>
      </w:tr>
      <w:tr>
        <w:trPr/>
        <w:tc>
          <w:tcPr>
            <w:tcW w:w="25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 in AeroFlexx</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18,957 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18,957 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16,930 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16,930 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debt securities - AFS</w:t>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9,246 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9,246 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11,187 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11,187 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Due from related party</w:t>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10,754 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10,754 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4,472 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Total </w:t>
            </w:r>
          </w:p>
        </w:tc>
        <w:tc>
          <w:tcPr>
            <w:tcW w:w="27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38,957</w:t>
            </w:r>
            <w:r>
              <w:rPr>
                <w:color w:val="000000"/>
              </w:rPr>
              <w:t> </w:t>
            </w:r>
          </w:p>
        </w:tc>
        <w:tc>
          <w:tcPr>
            <w:tcW w:w="14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4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38,957</w:t>
            </w:r>
            <w:r>
              <w:rPr>
                <w:color w:val="000000"/>
              </w:rPr>
              <w:t> </w:t>
            </w:r>
          </w:p>
        </w:tc>
        <w:tc>
          <w:tcPr>
            <w:tcW w:w="19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32,589</w:t>
            </w:r>
            <w:r>
              <w:rPr>
                <w:color w:val="000000"/>
              </w:rPr>
              <w:t> </w:t>
            </w:r>
          </w:p>
        </w:tc>
        <w:tc>
          <w:tcPr>
            <w:tcW w:w="14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2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32,589</w:t>
            </w:r>
            <w:r>
              <w:rPr>
                <w:color w:val="000000"/>
              </w:rPr>
              <w:t> </w:t>
            </w:r>
          </w:p>
        </w:tc>
        <w:tc>
          <w:tcPr>
            <w:tcW w:w="28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Summarized financial information:</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Balance sheets (in thousands)</w:t>
      </w:r>
    </w:p>
    <w:tbl>
      <w:tblPr>
        <w:tblW w:w="7214" w:type="dxa"/>
        <w:jc w:val="left"/>
        <w:tblInd w:w="0" w:type="dxa"/>
        <w:tblLayout w:type="fixed"/>
        <w:tblCellMar>
          <w:top w:w="28" w:type="dxa"/>
          <w:left w:w="28" w:type="dxa"/>
          <w:bottom w:w="28" w:type="dxa"/>
          <w:right w:w="28" w:type="dxa"/>
        </w:tblCellMar>
      </w:tblPr>
      <w:tblGrid>
        <w:gridCol w:w="678"/>
        <w:gridCol w:w="596"/>
        <w:gridCol w:w="600"/>
        <w:gridCol w:w="211"/>
        <w:gridCol w:w="721"/>
        <w:gridCol w:w="109"/>
        <w:gridCol w:w="109"/>
        <w:gridCol w:w="109"/>
        <w:gridCol w:w="109"/>
        <w:gridCol w:w="211"/>
        <w:gridCol w:w="721"/>
        <w:gridCol w:w="109"/>
        <w:gridCol w:w="109"/>
        <w:gridCol w:w="109"/>
        <w:gridCol w:w="109"/>
        <w:gridCol w:w="211"/>
        <w:gridCol w:w="796"/>
        <w:gridCol w:w="109"/>
        <w:gridCol w:w="109"/>
        <w:gridCol w:w="109"/>
        <w:gridCol w:w="109"/>
        <w:gridCol w:w="211"/>
        <w:gridCol w:w="796"/>
        <w:gridCol w:w="154"/>
      </w:tblGrid>
      <w:tr>
        <w:trPr/>
        <w:tc>
          <w:tcPr>
            <w:tcW w:w="67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ESG Fund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AeroFlexx</w:t>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85,712 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97,445 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 (Deficit)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Statements of operation (in thousands)</w:t>
      </w:r>
    </w:p>
    <w:tbl>
      <w:tblPr>
        <w:tblW w:w="7065" w:type="dxa"/>
        <w:jc w:val="left"/>
        <w:tblInd w:w="0" w:type="dxa"/>
        <w:tblLayout w:type="fixed"/>
        <w:tblCellMar>
          <w:top w:w="28" w:type="dxa"/>
          <w:left w:w="28" w:type="dxa"/>
          <w:bottom w:w="28" w:type="dxa"/>
          <w:right w:w="28" w:type="dxa"/>
        </w:tblCellMar>
      </w:tblPr>
      <w:tblGrid>
        <w:gridCol w:w="596"/>
        <w:gridCol w:w="526"/>
        <w:gridCol w:w="528"/>
        <w:gridCol w:w="211"/>
        <w:gridCol w:w="796"/>
        <w:gridCol w:w="109"/>
        <w:gridCol w:w="109"/>
        <w:gridCol w:w="109"/>
        <w:gridCol w:w="109"/>
        <w:gridCol w:w="211"/>
        <w:gridCol w:w="721"/>
        <w:gridCol w:w="109"/>
        <w:gridCol w:w="109"/>
        <w:gridCol w:w="109"/>
        <w:gridCol w:w="109"/>
        <w:gridCol w:w="211"/>
        <w:gridCol w:w="796"/>
        <w:gridCol w:w="109"/>
        <w:gridCol w:w="109"/>
        <w:gridCol w:w="109"/>
        <w:gridCol w:w="109"/>
        <w:gridCol w:w="211"/>
        <w:gridCol w:w="796"/>
        <w:gridCol w:w="154"/>
      </w:tblGrid>
      <w:tr>
        <w:trPr/>
        <w:tc>
          <w:tcPr>
            <w:tcW w:w="59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ESG Fund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AeroFlexx</w:t>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Gross (Loss) Profit </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Investment in debt securities - AFS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July 1, 2024, the Company entered into a loan agreement with AeroFlexx under which the Company will lend up to $10.0 million to AeroFlexx.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term loans and any unpaid accrued interest are required to be repaid by the maturity date, which is the earlier of (i) December 31, 2026 or (ii) the date of the sale, transfer or other disposition of all AeroFlexx’s assets or AeroFlexx's stock. After any full or partial repayment of the term loans, AeroFlexx may borrow additional funds up to the $10.0 million limit until the maturity date. The loans bear interest at the applicable federal rate published by the Internal Revenue Service and is adjusted on a quarterly basis.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has an option to convert the outstanding principal amount of the term loans and any unpaid accrued interest into shares or units in connection with the next issuance of equity securities by AeroFlexx, at a price equal to 100% of the price per share or unit and on the same terms and conditions as applicable to such issuance.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120"/>
        <w:jc w:val="left"/>
        <w:rPr/>
      </w:pPr>
      <w:hyperlink w:anchor="i507f7219d73d42a58f688d408612ee4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0"/>
        <w:jc w:val="center"/>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During 2024, the Company lent AeroFlexx the entire $10.0 million principal balance under this agreement. As of January 1, 2025, AeroFlexx was unable to raise any additional equity financing; therefore, the outstanding principal and unpaid accrued interest with an amount equal to the equity deficit of $7.3 million was automatically converted into Class D preferred units of AeroFlexx (“Class D Units”) at the price of $6.83 per share in accordance with the loan agreement. Upon conversion, a realized gain of $1.5 million was recognized for the year ended December 31, 2025 and is included in non-operating income in the consolidated statements of operations and comprehensive income (loss).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total principal balance drawn as of December 31, 2025 was $10.0 million. During the year ended December 31, 2025, $4.4 million was reclassified from Due from related parties under the term loan and $2.7 million was drawn down by AeroFlexx under the term loan.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accounted for the loans as an investment in debt securities and classified them as available for sale debt securities. Based on the AFS classification, the Company records this investment at fair value at each reporting date and as such recorded the changes in fair value of these loans (including the adjustment to fair value at inception date) in Other Comprehensive Income ("OCI").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amortized cost, gross unrealized gains and losses, and fair value of AFS debt securities is represented in the table below (in thousands):</w:t>
      </w:r>
    </w:p>
    <w:tbl>
      <w:tblPr>
        <w:tblW w:w="10205" w:type="dxa"/>
        <w:jc w:val="left"/>
        <w:tblInd w:w="0" w:type="dxa"/>
        <w:tblLayout w:type="fixed"/>
        <w:tblCellMar>
          <w:top w:w="28" w:type="dxa"/>
          <w:left w:w="28" w:type="dxa"/>
          <w:bottom w:w="28" w:type="dxa"/>
          <w:right w:w="28" w:type="dxa"/>
        </w:tblCellMar>
      </w:tblPr>
      <w:tblGrid>
        <w:gridCol w:w="1030"/>
        <w:gridCol w:w="904"/>
        <w:gridCol w:w="907"/>
        <w:gridCol w:w="273"/>
        <w:gridCol w:w="937"/>
        <w:gridCol w:w="141"/>
        <w:gridCol w:w="109"/>
        <w:gridCol w:w="109"/>
        <w:gridCol w:w="109"/>
        <w:gridCol w:w="524"/>
        <w:gridCol w:w="1160"/>
        <w:gridCol w:w="272"/>
        <w:gridCol w:w="109"/>
        <w:gridCol w:w="109"/>
        <w:gridCol w:w="109"/>
        <w:gridCol w:w="414"/>
        <w:gridCol w:w="1357"/>
        <w:gridCol w:w="213"/>
        <w:gridCol w:w="109"/>
        <w:gridCol w:w="109"/>
        <w:gridCol w:w="109"/>
        <w:gridCol w:w="211"/>
        <w:gridCol w:w="721"/>
        <w:gridCol w:w="160"/>
      </w:tblGrid>
      <w:tr>
        <w:trPr/>
        <w:tc>
          <w:tcPr>
            <w:tcW w:w="1030"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Gross 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2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December 31, 2025</w:t>
            </w:r>
          </w:p>
        </w:tc>
        <w:tc>
          <w:tcPr>
            <w:tcW w:w="1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Debt Securities - AFS</w:t>
            </w:r>
          </w:p>
        </w:tc>
        <w:tc>
          <w:tcPr>
            <w:tcW w:w="27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10,444 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(1,198)</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9,246 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December 31, 2024</w:t>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Debt Securities - AFS</w:t>
            </w:r>
          </w:p>
        </w:tc>
        <w:tc>
          <w:tcPr>
            <w:tcW w:w="27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10,278 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909 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11,187 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At December 31, 2025 and 2024, there was no allowance for credit loss related to the available for sale securities portfolio. Accrued interest receivable on available for sale debt securities totaled $0.4 million and $0.2 million at December 31, 2025 and 2024, respectively.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amortized cost and fair value of debt securities, by contractual maturity, as of December 31, 2025 is shown below (in thousands). Expected maturities can differ from contractual maturities.</w:t>
      </w:r>
    </w:p>
    <w:tbl>
      <w:tblPr>
        <w:tblW w:w="4496" w:type="dxa"/>
        <w:jc w:val="left"/>
        <w:tblInd w:w="0" w:type="dxa"/>
        <w:tblLayout w:type="fixed"/>
        <w:tblCellMar>
          <w:top w:w="28" w:type="dxa"/>
          <w:left w:w="28" w:type="dxa"/>
          <w:bottom w:w="28" w:type="dxa"/>
          <w:right w:w="28" w:type="dxa"/>
        </w:tblCellMar>
      </w:tblPr>
      <w:tblGrid>
        <w:gridCol w:w="636"/>
        <w:gridCol w:w="557"/>
        <w:gridCol w:w="562"/>
        <w:gridCol w:w="275"/>
        <w:gridCol w:w="962"/>
        <w:gridCol w:w="142"/>
        <w:gridCol w:w="109"/>
        <w:gridCol w:w="109"/>
        <w:gridCol w:w="109"/>
        <w:gridCol w:w="219"/>
        <w:gridCol w:w="656"/>
        <w:gridCol w:w="160"/>
      </w:tblGrid>
      <w:tr>
        <w:trPr/>
        <w:tc>
          <w:tcPr>
            <w:tcW w:w="636"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Due within one year</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10,444 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9,246 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6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10,444</w:t>
            </w:r>
            <w:r>
              <w:rPr>
                <w:color w:val="000000"/>
              </w:rPr>
              <w:t> </w:t>
            </w:r>
          </w:p>
        </w:tc>
        <w:tc>
          <w:tcPr>
            <w:tcW w:w="14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9,246</w:t>
            </w:r>
            <w:r>
              <w:rPr>
                <w:color w:val="000000"/>
              </w:rPr>
              <w:t> </w:t>
            </w:r>
          </w:p>
        </w:tc>
        <w:tc>
          <w:tcPr>
            <w:tcW w:w="16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the contractual maturity of the loan is December 31, 2026, it is included in the current line item Investments of the consolidated balance sheets. The decrease of $0.7 million and an increase of $0.9 million in fair value of this investment in debt securities for the years ended December 31, 2025 and 2024, respectively, is included as Unrealized gain (loss) on available for sale debt securities - related party in the consolidated statements of operations and comprehensive income (loss).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the Company’s carrying amount and maximum exposure relating to AeroFlexx advances and other receivables were $10.8 million and $4.5 million as of December 31, 2025 and December 31, 2024, included in Due from related parties on the consolidated balance sheets.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120"/>
        <w:jc w:val="left"/>
        <w:rPr/>
      </w:pPr>
      <w:hyperlink w:anchor="i507f7219d73d42a58f688d408612ee4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0"/>
        <w:jc w:val="center"/>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4. Fair Value</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Fair Value Hierarchy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the Company’s fair value hierarchy for assets and liabilities measured at fair value on a recurring basis (in thousands):</w:t>
      </w:r>
    </w:p>
    <w:tbl>
      <w:tblPr>
        <w:tblW w:w="9221" w:type="dxa"/>
        <w:jc w:val="left"/>
        <w:tblInd w:w="0" w:type="dxa"/>
        <w:tblLayout w:type="fixed"/>
        <w:tblCellMar>
          <w:top w:w="28" w:type="dxa"/>
          <w:left w:w="28" w:type="dxa"/>
          <w:bottom w:w="28" w:type="dxa"/>
          <w:right w:w="28" w:type="dxa"/>
        </w:tblCellMar>
      </w:tblPr>
      <w:tblGrid>
        <w:gridCol w:w="1058"/>
        <w:gridCol w:w="932"/>
        <w:gridCol w:w="935"/>
        <w:gridCol w:w="408"/>
        <w:gridCol w:w="787"/>
        <w:gridCol w:w="214"/>
        <w:gridCol w:w="109"/>
        <w:gridCol w:w="109"/>
        <w:gridCol w:w="109"/>
        <w:gridCol w:w="479"/>
        <w:gridCol w:w="922"/>
        <w:gridCol w:w="248"/>
        <w:gridCol w:w="109"/>
        <w:gridCol w:w="109"/>
        <w:gridCol w:w="109"/>
        <w:gridCol w:w="287"/>
        <w:gridCol w:w="839"/>
        <w:gridCol w:w="150"/>
        <w:gridCol w:w="109"/>
        <w:gridCol w:w="109"/>
        <w:gridCol w:w="109"/>
        <w:gridCol w:w="211"/>
        <w:gridCol w:w="616"/>
        <w:gridCol w:w="154"/>
      </w:tblGrid>
      <w:tr>
        <w:trPr/>
        <w:tc>
          <w:tcPr>
            <w:tcW w:w="1058"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December 31, 2025</w:t>
            </w:r>
          </w:p>
        </w:tc>
        <w:tc>
          <w:tcPr>
            <w:tcW w:w="14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Quoted Prices</w:t>
              <w:br/>
              <w:t>in Active</w:t>
              <w:br/>
              <w:t>Markets for</w:t>
              <w:br/>
              <w:t>Identical Assets</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Significant Other</w:t>
              <w:br/>
              <w:t>Observable Inputs</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Significant</w:t>
              <w:br/>
              <w:t>Unobservable</w:t>
              <w:br/>
              <w:t>Inputs</w:t>
              <w:b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9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4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debt security - AFS</w:t>
            </w:r>
          </w:p>
        </w:tc>
        <w:tc>
          <w:tcPr>
            <w:tcW w:w="40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9,246 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Earnout liability</w:t>
            </w:r>
          </w:p>
        </w:tc>
        <w:tc>
          <w:tcPr>
            <w:tcW w:w="40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2024 WTI Warrant liability</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13,080 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2025 WTI Warrant liability</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Private placement warrant liability</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11,148 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78"/>
        <w:gridCol w:w="575"/>
        <w:gridCol w:w="577"/>
        <w:gridCol w:w="695"/>
        <w:gridCol w:w="1340"/>
        <w:gridCol w:w="364"/>
        <w:gridCol w:w="109"/>
        <w:gridCol w:w="109"/>
        <w:gridCol w:w="109"/>
        <w:gridCol w:w="569"/>
        <w:gridCol w:w="1095"/>
        <w:gridCol w:w="295"/>
        <w:gridCol w:w="109"/>
        <w:gridCol w:w="109"/>
        <w:gridCol w:w="109"/>
        <w:gridCol w:w="393"/>
        <w:gridCol w:w="1346"/>
        <w:gridCol w:w="205"/>
        <w:gridCol w:w="109"/>
        <w:gridCol w:w="109"/>
        <w:gridCol w:w="109"/>
        <w:gridCol w:w="211"/>
        <w:gridCol w:w="721"/>
        <w:gridCol w:w="160"/>
      </w:tblGrid>
      <w:tr>
        <w:trPr/>
        <w:tc>
          <w:tcPr>
            <w:tcW w:w="678"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December 31, 2024</w:t>
            </w:r>
          </w:p>
        </w:tc>
        <w:tc>
          <w:tcPr>
            <w:tcW w:w="23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Quoted Prices in Active Markets for Identical Assets</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Significant Other Observable Inputs</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Significant Unobservable Inputs </w:t>
              <w:b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8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2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debt security - AFS</w:t>
            </w:r>
          </w:p>
        </w:tc>
        <w:tc>
          <w:tcPr>
            <w:tcW w:w="69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11,187 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11,187 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2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Earnout liability</w:t>
            </w:r>
          </w:p>
        </w:tc>
        <w:tc>
          <w:tcPr>
            <w:tcW w:w="69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14,752 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14,752 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 WTI Warrant liability</w:t>
            </w:r>
          </w:p>
        </w:tc>
        <w:tc>
          <w:tcPr>
            <w:tcW w:w="20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17,230 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17,230 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Private placement warrant liability</w:t>
            </w:r>
          </w:p>
        </w:tc>
        <w:tc>
          <w:tcPr>
            <w:tcW w:w="20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16,793 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16,793 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Gains and losses for such assets and liabilities categorized within the Level 3 table set forth may include changes in fair value that are attributable to both observable inputs (Levels 1 and 2) and unobservable inputs (Level 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120"/>
        <w:jc w:val="left"/>
        <w:rPr/>
      </w:pPr>
      <w:hyperlink w:anchor="i507f7219d73d42a58f688d408612ee4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0"/>
        <w:jc w:val="center"/>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Changes in the estimated fair value of Level 3 financial assets and liabilities that are measured on a recurring basis are as follows (in thousands): </w:t>
      </w:r>
    </w:p>
    <w:tbl>
      <w:tblPr>
        <w:tblW w:w="10205" w:type="dxa"/>
        <w:jc w:val="left"/>
        <w:tblInd w:w="0" w:type="dxa"/>
        <w:tblLayout w:type="fixed"/>
        <w:tblCellMar>
          <w:top w:w="28" w:type="dxa"/>
          <w:left w:w="28" w:type="dxa"/>
          <w:bottom w:w="28" w:type="dxa"/>
          <w:right w:w="28" w:type="dxa"/>
        </w:tblCellMar>
      </w:tblPr>
      <w:tblGrid>
        <w:gridCol w:w="595"/>
        <w:gridCol w:w="408"/>
        <w:gridCol w:w="410"/>
        <w:gridCol w:w="254"/>
        <w:gridCol w:w="491"/>
        <w:gridCol w:w="133"/>
        <w:gridCol w:w="286"/>
        <w:gridCol w:w="857"/>
        <w:gridCol w:w="150"/>
        <w:gridCol w:w="321"/>
        <w:gridCol w:w="618"/>
        <w:gridCol w:w="167"/>
        <w:gridCol w:w="222"/>
        <w:gridCol w:w="777"/>
        <w:gridCol w:w="115"/>
        <w:gridCol w:w="213"/>
        <w:gridCol w:w="746"/>
        <w:gridCol w:w="110"/>
        <w:gridCol w:w="219"/>
        <w:gridCol w:w="766"/>
        <w:gridCol w:w="113"/>
        <w:gridCol w:w="221"/>
        <w:gridCol w:w="661"/>
        <w:gridCol w:w="114"/>
        <w:gridCol w:w="334"/>
        <w:gridCol w:w="645"/>
        <w:gridCol w:w="259"/>
      </w:tblGrid>
      <w:tr>
        <w:trPr/>
        <w:tc>
          <w:tcPr>
            <w:tcW w:w="59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1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Forward Contract</w:t>
            </w:r>
          </w:p>
        </w:tc>
        <w:tc>
          <w:tcPr>
            <w:tcW w:w="12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Embedded derivative liability - convertible promissory notes</w:t>
            </w:r>
          </w:p>
        </w:tc>
        <w:tc>
          <w:tcPr>
            <w:tcW w:w="11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Embedded derivative liability - August 2025 Notes</w:t>
            </w:r>
          </w:p>
        </w:tc>
        <w:tc>
          <w:tcPr>
            <w:tcW w:w="1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Investment in debt securities - AFS</w:t>
            </w:r>
          </w:p>
        </w:tc>
        <w:tc>
          <w:tcPr>
            <w:tcW w:w="106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Earnout liability</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 WTI Warrant liability</w:t>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 WTI Warrant liability</w:t>
            </w:r>
          </w:p>
        </w:tc>
        <w:tc>
          <w:tcPr>
            <w:tcW w:w="12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Embedded derivative liability (asset) - Convertible Debentures</w:t>
            </w:r>
          </w:p>
        </w:tc>
      </w:tr>
      <w:tr>
        <w:trPr/>
        <w:tc>
          <w:tcPr>
            <w:tcW w:w="14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as of January 1, 2024 (Predecessor)</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1,994</w:t>
            </w:r>
            <w:r>
              <w:rPr>
                <w:color w:val="000000"/>
              </w:rPr>
              <w:t>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w:t>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(2,472)</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w:t>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as of October 1, 2024 (Predecessor)</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10,172</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as of October 2, 2024 Successor)</w:t>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w:t>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w:t>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as of December 31, 2024 (Successor)</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11,187</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14,752</w:t>
            </w: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17,230</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January 1, 2025 (Successor)</w:t>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11,187</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14,752</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17,230</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and derecognitions</w:t>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(8,756)</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(3,297)</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w:t>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(9,989)</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1,821 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2025 (Successor)</w:t>
            </w:r>
          </w:p>
        </w:tc>
        <w:tc>
          <w:tcPr>
            <w:tcW w:w="2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9,246</w:t>
            </w:r>
            <w:r>
              <w:rPr>
                <w:color w:val="000000"/>
              </w:rPr>
              <w:t> </w:t>
            </w:r>
          </w:p>
        </w:tc>
        <w:tc>
          <w:tcPr>
            <w:tcW w:w="11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3,890</w:t>
            </w:r>
            <w:r>
              <w:rPr>
                <w:color w:val="000000"/>
              </w:rPr>
              <w:t> </w:t>
            </w:r>
          </w:p>
        </w:tc>
        <w:tc>
          <w:tcPr>
            <w:tcW w:w="11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13,080</w:t>
            </w:r>
            <w:r>
              <w:rPr>
                <w:color w:val="000000"/>
              </w:rPr>
              <w:t> </w:t>
            </w:r>
          </w:p>
        </w:tc>
        <w:tc>
          <w:tcPr>
            <w:tcW w:w="1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3,230</w:t>
            </w:r>
            <w:r>
              <w:rPr>
                <w:color w:val="000000"/>
              </w:rPr>
              <w:t> </w:t>
            </w:r>
          </w:p>
        </w:tc>
        <w:tc>
          <w:tcPr>
            <w:tcW w:w="11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There were no transfers in or out of levels during the Successor period for the year ended December 31, 2025, the Successor period from October 2, 2024 through December 31, 2024, or the Predecessor period from January 1, 2024 through October 1, 2024.</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Standby Equity Purchase Agreement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24, 2023, the Company entered into the Standby Equity Purchase Agreement (“SEPA”) with Yorkville (as defined below), as further described in Note 13. Stockholders' Equity with applicable terms defined. The SEPA became effective concurrently with the Business Combination. The SEPA includes two components subject to fair value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0" w:after="120"/>
        <w:jc w:val="left"/>
        <w:rPr/>
      </w:pPr>
      <w:hyperlink w:anchor="i507f7219d73d42a58f688d408612ee4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0"/>
        <w:jc w:val="center"/>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measurement: the Purchased Put Option and Forward Contract. These are considered freestanding financial instruments not indexed to the Company’s stock.</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Purchased Put Option is accounted for as a derivative asset, initially measured at fair value upon Closing and subsequently measured at fair value each reporting period with changes in fair value recorded in the consolidated statements of operations and comprehensive income (loss). The Purchased Put Option fair value is considered de minimis upon Closing due to the exercise price being at a discount to market prices and remains nominal as of December 31, 2025 and 2024.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Forward Contract is initially measured at fair value upon any Advance Notice (as defined below) and subsequently remeasured with changes in fair value recorded in the consolidated statements of operations and comprehensive income (loss). A derivative liability or asset will be recorded when there is an Advance Notice outstanding as of a reporting period. There were no outstanding Advance Notices as of December 31, 2025 and 2024.</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Investment in debt securities - AFS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investment in debt securities is stated at fair value as described in Note 3. Investments. The terms of the securities are such that they are highly likely to convert into Class D Units of AeroFlexx. The fair value of the debt securities is estimated on an as-converted basis using a discounted cash flow model by discounting the contractual debt cash flows at a rate incorporating the credit risk of AeroFlexx as of December 31, 2025 and using a Black-Scholes model as of December 31, 2024 incorporating breakpoints upon which each tranche of AeroFlexx equity participates in distributions. </w:t>
      </w:r>
    </w:p>
    <w:p>
      <w:pPr>
        <w:pStyle w:val="TextBody"/>
        <w:bidi w:val="0"/>
        <w:spacing w:before="0" w:after="0"/>
        <w:jc w:val="left"/>
        <w:rPr/>
      </w:pPr>
      <w:r>
        <w:rPr/>
      </w:r>
    </w:p>
    <w:tbl>
      <w:tblPr>
        <w:tblW w:w="6686" w:type="dxa"/>
        <w:jc w:val="left"/>
        <w:tblInd w:w="0" w:type="dxa"/>
        <w:tblLayout w:type="fixed"/>
        <w:tblCellMar>
          <w:top w:w="28" w:type="dxa"/>
          <w:left w:w="28" w:type="dxa"/>
          <w:bottom w:w="28" w:type="dxa"/>
          <w:right w:w="28" w:type="dxa"/>
        </w:tblCellMar>
      </w:tblPr>
      <w:tblGrid>
        <w:gridCol w:w="1039"/>
        <w:gridCol w:w="910"/>
        <w:gridCol w:w="916"/>
        <w:gridCol w:w="384"/>
        <w:gridCol w:w="384"/>
        <w:gridCol w:w="957"/>
        <w:gridCol w:w="109"/>
        <w:gridCol w:w="109"/>
        <w:gridCol w:w="109"/>
        <w:gridCol w:w="360"/>
        <w:gridCol w:w="360"/>
        <w:gridCol w:w="1049"/>
      </w:tblGrid>
      <w:tr>
        <w:trPr/>
        <w:tc>
          <w:tcPr>
            <w:tcW w:w="1039"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0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 to liquidity</w:t>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years</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for lack of marketability</w:t>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31.00 </w:t>
            </w:r>
          </w:p>
        </w:tc>
        <w:tc>
          <w:tcPr>
            <w:tcW w:w="10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cost of capital</w:t>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10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rate</w:t>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10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6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AeroFlexx yield</w:t>
            </w:r>
          </w:p>
        </w:tc>
        <w:tc>
          <w:tcPr>
            <w:tcW w:w="768"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17.01 </w:t>
            </w:r>
          </w:p>
        </w:tc>
        <w:tc>
          <w:tcPr>
            <w:tcW w:w="957"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further discussed in Note 3. Investments, outstanding principal and accrued interest of $7.3 million for the investment in debt securities - AFS was automatically converted into Class D Units in accordance with the loan agreement. Prior to the conversion, the fair value was estimated using a Black Scholes model. Post conversion, the fair value is estimated using a discounted cash flow model by discounting the contractual debt cash flows at a rate incorporating the credit risk of AeroFlexx.</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Earnout Shares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Upon Closing of the Business Combination, Earnout Shares were issued to previous Innventure Members and contingently issued to Sponsors (as defined and further described in Note 10. Earnout Shares). The fair value of the Earnout Shares was determined using a Monte Carlo valuation model that utilizes significant assumptions, including expected volatility, expected term, and risk-free rate, to determine the probability of achieving common share price and revenue milestones. The shares may vest upon either the achievement of the common share price milestone or revenue or event-based milestones specific to each of three tranches. Specifically, the future stock price of the Company and revenues of Accelsius and AeroFlexx are simulated assuming a Geometric Brownian Motion (GBM) in a risk-neutral framework. The Earnout Share payoff is calculated based on the contractual terms, and then discounted at the term-matched risk-free rate. The risk-free interest rate was determined by reference to the U.S. Treasury yield curve for time periods approximately equal to the remaining contractual term of the Earnout Shares. Discounting conventions of revenue-based milestones are mid-period assuming annual revenue forecasts are earned on average at the mid-period of the forecast period. The value of the Earnout Shares is calculated as the average present value over all future modeled payoffs.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0" w:after="120"/>
        <w:jc w:val="left"/>
        <w:rPr/>
      </w:pPr>
      <w:hyperlink w:anchor="i507f7219d73d42a58f688d408612ee4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inputs used in simulating the Company’s stock price include, the term, stock price, volatility, risk-free rate and dividend yield. Prior to the Business Combination, the Company never paid or declared dividends, thus the dividend yield is based on our history and expectation of dividend payouts and is estimated to be 0% as of December 31, 2025 and 2024. The following table summarizes the inputs used in simulating the Company’s stock price for purposes of valuing the Earnout Shares:</w:t>
      </w:r>
    </w:p>
    <w:tbl>
      <w:tblPr>
        <w:tblW w:w="6290" w:type="dxa"/>
        <w:jc w:val="left"/>
        <w:tblInd w:w="0" w:type="dxa"/>
        <w:tblLayout w:type="fixed"/>
        <w:tblCellMar>
          <w:top w:w="28" w:type="dxa"/>
          <w:left w:w="28" w:type="dxa"/>
          <w:bottom w:w="28" w:type="dxa"/>
          <w:right w:w="28" w:type="dxa"/>
        </w:tblCellMar>
      </w:tblPr>
      <w:tblGrid>
        <w:gridCol w:w="867"/>
        <w:gridCol w:w="761"/>
        <w:gridCol w:w="681"/>
        <w:gridCol w:w="315"/>
        <w:gridCol w:w="766"/>
        <w:gridCol w:w="804"/>
        <w:gridCol w:w="109"/>
        <w:gridCol w:w="109"/>
        <w:gridCol w:w="109"/>
        <w:gridCol w:w="326"/>
        <w:gridCol w:w="954"/>
        <w:gridCol w:w="489"/>
      </w:tblGrid>
      <w:tr>
        <w:trPr/>
        <w:tc>
          <w:tcPr>
            <w:tcW w:w="867"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w:t>
            </w:r>
          </w:p>
        </w:tc>
        <w:tc>
          <w:tcPr>
            <w:tcW w:w="1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years</w:t>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price</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8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56.00 </w:t>
            </w:r>
          </w:p>
        </w:tc>
        <w:tc>
          <w:tcPr>
            <w:tcW w:w="4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rate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8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Revenue risk premium</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180"/>
              <w:ind w:left="0" w:right="0" w:firstLine="360"/>
              <w:jc w:val="right"/>
              <w:rPr>
                <w:rFonts w:ascii="Times New Roman;serif" w:hAnsi="Times New Roman;serif"/>
                <w:b w:val="false"/>
                <w:color w:val="000000"/>
                <w:sz w:val="20"/>
              </w:rPr>
            </w:pPr>
            <w:r>
              <w:rPr>
                <w:rFonts w:ascii="Times New Roman;serif" w:hAnsi="Times New Roman;serif"/>
                <w:b w:val="false"/>
                <w:color w:val="000000"/>
                <w:sz w:val="20"/>
              </w:rPr>
              <w:t>27.80 </w:t>
            </w:r>
          </w:p>
        </w:tc>
        <w:tc>
          <w:tcPr>
            <w:tcW w:w="804" w:type="dxa"/>
            <w:tcBorders/>
            <w:shd w:fill="CCEEFF" w:val="clear"/>
            <w:tcMar>
              <w:top w:w="0" w:type="dxa"/>
              <w:left w:w="0" w:type="dxa"/>
              <w:bottom w:w="0" w:type="dxa"/>
              <w:right w:w="0" w:type="dxa"/>
            </w:tcMar>
            <w:vAlign w:val="center"/>
          </w:tcPr>
          <w:p>
            <w:pPr>
              <w:pStyle w:val="TableContents"/>
              <w:bidi w:val="0"/>
              <w:spacing w:lineRule="auto" w:line="288" w:before="0" w:after="180"/>
              <w:ind w:left="0" w:right="0" w:firstLine="3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36.10 </w:t>
            </w:r>
          </w:p>
        </w:tc>
        <w:tc>
          <w:tcPr>
            <w:tcW w:w="4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Revenue volatility</w:t>
            </w:r>
          </w:p>
        </w:tc>
        <w:tc>
          <w:tcPr>
            <w:tcW w:w="1081"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80"/>
              <w:ind w:left="0" w:right="0" w:firstLine="360"/>
              <w:jc w:val="right"/>
              <w:rPr>
                <w:rFonts w:ascii="Times New Roman;serif" w:hAnsi="Times New Roman;serif"/>
                <w:b w:val="false"/>
                <w:color w:val="000000"/>
                <w:sz w:val="20"/>
              </w:rPr>
            </w:pPr>
            <w:r>
              <w:rPr>
                <w:rFonts w:ascii="Times New Roman;serif" w:hAnsi="Times New Roman;serif"/>
                <w:b w:val="false"/>
                <w:color w:val="000000"/>
                <w:sz w:val="20"/>
              </w:rPr>
              <w:t>157.30 </w:t>
            </w:r>
          </w:p>
        </w:tc>
        <w:tc>
          <w:tcPr>
            <w:tcW w:w="804" w:type="dxa"/>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80"/>
              <w:ind w:left="0" w:right="0" w:firstLine="3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176.00 </w:t>
            </w:r>
          </w:p>
        </w:tc>
        <w:tc>
          <w:tcPr>
            <w:tcW w:w="489"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Earnout Shares related to Milestone Three are liability classified, and the Earnout Shares related to Milestone One and Two are equity classified as further described in Note 10. Earnout Shares. The assumptions used in measuring fair value of Milestone Three Earnout Shares are considered Level 3 inputs, which include weighted average cost of capital risk premium, operational leverage ratio, revenue risk premium and revenue volatility.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For further information on the Earnout Shares, refer to Note 10. Earnout Shares.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Warrants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October 2024, The Company issued freestanding warrants (the “2024 WTI Warrants”) to the WTI Lenders in connection with the WTI Facility (as defined and further described in Note 5. Borrowings and Note 11. Warrants). The fair value measurement of 2024 WTI Warrants is based on unobservable inputs (Level 3 fair value measurement).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fair value of the 2024 WTI Warrants was determined using a Monte Carlo valuation model in which the future stock price is simulated assuming a GBM in a risk-neutral framework. The model utilizes significant assumptions including stock price, stock price volatility, and credit spread. The credit spread relates to estimated counterparty credit risk of Innventure being able to make payments related to the WTI Lenders’ put right, in which the 2024 WTI Lenders may exchange the WTI Warrants for a total cash payment of $15.0 million after the four-year anniversary of issuance. The risk-free interest rate was determined by reference to the U.S. Treasury yield curve.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April 2025, the Company issued freestanding warrants (the 2025 “WTI Warrants”) to the WTI Lenders in connection with the WTI Facility (as defined and further described in Note 5. Borrowings and Note 11. Warrants). The fair value measurement of 2025 WTI Warrants is based on unobservable inputs (Level 3 fair value measurement).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0" w:after="120"/>
        <w:jc w:val="left"/>
        <w:rPr/>
      </w:pPr>
      <w:hyperlink w:anchor="i507f7219d73d42a58f688d408612ee4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initial fair value of the 2025 WTI Warrants was determined using a Monte Carlo valuation model in which the future stock price is simulated assuming a GBM in a risk-neutral framework. The model utilizes significant assumptions including stock price, stock price volatility and credit spread. Specifically, the initial valuation as of the April 14, 2025 issuance date considered a stock price of $3.65, stock price volatility of 57.00%, and credit spread of 27.70%. The risk-free interest rate was determined by reference to the U.S. Treasury yield curve. The following table summarizes the inputs used in the GBM for purposes of valuing the WTI Warrants as of each year end:</w:t>
      </w:r>
    </w:p>
    <w:tbl>
      <w:tblPr>
        <w:tblW w:w="8438" w:type="dxa"/>
        <w:jc w:val="left"/>
        <w:tblInd w:w="0" w:type="dxa"/>
        <w:tblLayout w:type="fixed"/>
        <w:tblCellMar>
          <w:top w:w="28" w:type="dxa"/>
          <w:left w:w="28" w:type="dxa"/>
          <w:bottom w:w="28" w:type="dxa"/>
          <w:right w:w="28" w:type="dxa"/>
        </w:tblCellMar>
      </w:tblPr>
      <w:tblGrid>
        <w:gridCol w:w="124"/>
        <w:gridCol w:w="109"/>
        <w:gridCol w:w="109"/>
        <w:gridCol w:w="814"/>
        <w:gridCol w:w="814"/>
        <w:gridCol w:w="817"/>
        <w:gridCol w:w="609"/>
        <w:gridCol w:w="609"/>
        <w:gridCol w:w="612"/>
        <w:gridCol w:w="366"/>
        <w:gridCol w:w="888"/>
        <w:gridCol w:w="471"/>
        <w:gridCol w:w="109"/>
        <w:gridCol w:w="109"/>
        <w:gridCol w:w="109"/>
        <w:gridCol w:w="326"/>
        <w:gridCol w:w="954"/>
        <w:gridCol w:w="4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8438"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2025 WTI Warrants:</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Geometric Brownian Motion</w:t>
            </w:r>
          </w:p>
        </w:tc>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price</w:t>
            </w:r>
          </w:p>
        </w:tc>
        <w:tc>
          <w:tcPr>
            <w:tcW w:w="366" w:type="dxa"/>
            <w:tcBorders/>
            <w:shd w:fill="FFFFFF" w:val="clear"/>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price volatility</w:t>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471" w:type="dxa"/>
            <w:tcBorders/>
            <w:shd w:fill="CCEEFF" w:val="clear"/>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34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spread</w:t>
            </w:r>
          </w:p>
        </w:tc>
        <w:tc>
          <w:tcPr>
            <w:tcW w:w="1254"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26.00 </w:t>
            </w:r>
          </w:p>
        </w:tc>
        <w:tc>
          <w:tcPr>
            <w:tcW w:w="47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8438"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2024 WTI Warrants:</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Geometric Brownian Motion</w:t>
            </w:r>
          </w:p>
        </w:tc>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price</w:t>
            </w:r>
          </w:p>
        </w:tc>
        <w:tc>
          <w:tcPr>
            <w:tcW w:w="366" w:type="dxa"/>
            <w:tcBorders/>
            <w:shd w:fill="FFFFFF" w:val="clear"/>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shd w:fill="FFFFFF" w:val="clear"/>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13.85 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price volatility</w:t>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471" w:type="dxa"/>
            <w:tcBorders/>
            <w:shd w:fill="CCEEFF" w:val="clear"/>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56.00 </w:t>
            </w:r>
          </w:p>
        </w:tc>
        <w:tc>
          <w:tcPr>
            <w:tcW w:w="489" w:type="dxa"/>
            <w:tcBorders/>
            <w:shd w:fill="CCEEFF" w:val="clear"/>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spread</w:t>
            </w:r>
          </w:p>
        </w:tc>
        <w:tc>
          <w:tcPr>
            <w:tcW w:w="1254"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26.00 </w:t>
            </w:r>
          </w:p>
        </w:tc>
        <w:tc>
          <w:tcPr>
            <w:tcW w:w="47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18.80 </w:t>
            </w:r>
          </w:p>
        </w:tc>
        <w:tc>
          <w:tcPr>
            <w:tcW w:w="489"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Significant increases or decreases to any of these inputs would result in a significantly higher or lower liability. For further information on the 2024 WTI Warrants (as defined below), and 2025 WTI Warrants, refer to Note 11. Warrants.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Derivative Liabilities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Embedded derivative liabilities contained within the previously issued 8% convertible promissory notes (the “2025 Notes”) were stated at fair value. Fair value was determined utilizing discounted cash flows, using unobservable market data inputs, and an option pricing model based on a probability-weighted expected outcome with respect to a financing or a change of control. The derivatives associated with the 2025 Notes were settled in March 2024 due to conversion of the 2025 Notes in a qualified financing. A summary of the significant unobservable inputs utilized to estimate the fair value at settlement is as follows: </w:t>
      </w:r>
    </w:p>
    <w:tbl>
      <w:tblPr>
        <w:tblW w:w="10205" w:type="dxa"/>
        <w:jc w:val="left"/>
        <w:tblInd w:w="0" w:type="dxa"/>
        <w:tblLayout w:type="fixed"/>
        <w:tblCellMar>
          <w:top w:w="28" w:type="dxa"/>
          <w:left w:w="28" w:type="dxa"/>
          <w:bottom w:w="28" w:type="dxa"/>
          <w:right w:w="28" w:type="dxa"/>
        </w:tblCellMar>
      </w:tblPr>
      <w:tblGrid>
        <w:gridCol w:w="3267"/>
        <w:gridCol w:w="2867"/>
        <w:gridCol w:w="2884"/>
        <w:gridCol w:w="232"/>
        <w:gridCol w:w="234"/>
        <w:gridCol w:w="721"/>
      </w:tblGrid>
      <w:tr>
        <w:trPr/>
        <w:tc>
          <w:tcPr>
            <w:tcW w:w="3267" w:type="dxa"/>
            <w:tcBorders/>
            <w:vAlign w:val="center"/>
          </w:tcPr>
          <w:p>
            <w:pPr>
              <w:pStyle w:val="TableContents"/>
              <w:bidi w:val="0"/>
              <w:spacing w:before="0" w:after="283"/>
              <w:jc w:val="left"/>
              <w:rPr>
                <w:sz w:val="4"/>
                <w:szCs w:val="4"/>
              </w:rPr>
            </w:pPr>
            <w:r>
              <w:rPr>
                <w:sz w:val="4"/>
                <w:szCs w:val="4"/>
              </w:rPr>
            </w:r>
          </w:p>
        </w:tc>
        <w:tc>
          <w:tcPr>
            <w:tcW w:w="2867"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901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Embedded derivative within 2025 Notes issued August 18, 2022 with a principal balance of $4,000</w:t>
            </w:r>
          </w:p>
        </w:tc>
        <w:tc>
          <w:tcPr>
            <w:tcW w:w="118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Settlement</w:t>
            </w:r>
          </w:p>
        </w:tc>
      </w:tr>
      <w:tr>
        <w:trPr/>
        <w:tc>
          <w:tcPr>
            <w:tcW w:w="90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Discount Rate </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0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Probability of Expected Outcomes</w:t>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90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firstLine="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0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control</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0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Embedded derivative within 2025 Notes issued June 7 &amp; July 3, 2023 with an aggregate principal balance of 2,000</w:t>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Discount Rate </w:t>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71% - 87%</w:t>
            </w:r>
          </w:p>
        </w:tc>
      </w:tr>
      <w:tr>
        <w:trPr/>
        <w:tc>
          <w:tcPr>
            <w:tcW w:w="90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Probability of Expected Outcomes</w:t>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90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0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control</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firstLine="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0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0" w:after="120"/>
        <w:jc w:val="left"/>
        <w:rPr/>
      </w:pPr>
      <w:hyperlink w:anchor="i507f7219d73d42a58f688d408612ee4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0"/>
        <w:jc w:val="center"/>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As further discussed and defined in Note 5. Borrowings, the Company issued Convertible Debentures (as defined below) which contain certain features which qualify as embedded derivates requiring bifurcation. The fair value of the embedded derivative is determined utilizing a “with and without” method, in which the fair value is calculated as the difference in the fair value of the entire hybrid instrument and the fair value of the instrument excluding the bifurcated derivative features. The initial fair value of the embedded derivative was determined using a discounted cash flow model as of April 14, 2025 and May 15, 2025 which is reflective of the dates of the Convertible Debenture issuances. The model uses a significant assumption of a debt yield of 44.5% for the April 14, 2025 issuance and 42.6% for the May 15, 2025 issuance.</w:t>
      </w:r>
    </w:p>
    <w:tbl>
      <w:tblPr>
        <w:tblW w:w="7452" w:type="dxa"/>
        <w:jc w:val="left"/>
        <w:tblInd w:w="0" w:type="dxa"/>
        <w:tblLayout w:type="fixed"/>
        <w:tblCellMar>
          <w:top w:w="28" w:type="dxa"/>
          <w:left w:w="28" w:type="dxa"/>
          <w:bottom w:w="28" w:type="dxa"/>
          <w:right w:w="28" w:type="dxa"/>
        </w:tblCellMar>
      </w:tblPr>
      <w:tblGrid>
        <w:gridCol w:w="204"/>
        <w:gridCol w:w="179"/>
        <w:gridCol w:w="179"/>
        <w:gridCol w:w="689"/>
        <w:gridCol w:w="689"/>
        <w:gridCol w:w="691"/>
        <w:gridCol w:w="609"/>
        <w:gridCol w:w="609"/>
        <w:gridCol w:w="612"/>
        <w:gridCol w:w="606"/>
        <w:gridCol w:w="1472"/>
        <w:gridCol w:w="913"/>
      </w:tblGrid>
      <w:tr>
        <w:trPr/>
        <w:tc>
          <w:tcPr>
            <w:tcW w:w="20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r>
      <w:tr>
        <w:trPr/>
        <w:tc>
          <w:tcPr>
            <w:tcW w:w="56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r>
      <w:tr>
        <w:trPr/>
        <w:tc>
          <w:tcPr>
            <w:tcW w:w="7452" w:type="dxa"/>
            <w:gridSpan w:val="12"/>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Embedded derivative asset - Convertible Debentures:</w:t>
            </w:r>
          </w:p>
        </w:tc>
      </w:tr>
      <w:tr>
        <w:trPr/>
        <w:tc>
          <w:tcPr>
            <w:tcW w:w="5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Binomial Lattice Model</w:t>
            </w:r>
          </w:p>
        </w:tc>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price</w:t>
            </w:r>
          </w:p>
        </w:tc>
        <w:tc>
          <w:tcPr>
            <w:tcW w:w="606" w:type="dxa"/>
            <w:tcBorders/>
            <w:shd w:fill="FFFFFF" w:val="clear"/>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472" w:type="dxa"/>
            <w:tcBorders/>
            <w:shd w:fill="FFFFFF" w:val="clear"/>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price volatility</w:t>
            </w:r>
          </w:p>
        </w:tc>
        <w:tc>
          <w:tcPr>
            <w:tcW w:w="2078" w:type="dxa"/>
            <w:gridSpan w:val="2"/>
            <w:tcBorders/>
            <w:shd w:fill="CCEEFF" w:val="clear"/>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913" w:type="dxa"/>
            <w:tcBorders/>
            <w:shd w:fill="CCEEFF" w:val="clear"/>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yield</w:t>
            </w:r>
          </w:p>
        </w:tc>
        <w:tc>
          <w:tcPr>
            <w:tcW w:w="2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38.70 </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spread</w:t>
            </w:r>
          </w:p>
        </w:tc>
        <w:tc>
          <w:tcPr>
            <w:tcW w:w="2078"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35.00 </w:t>
            </w:r>
          </w:p>
        </w:tc>
        <w:tc>
          <w:tcPr>
            <w:tcW w:w="913"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62" w:type="dxa"/>
            <w:gridSpan w:val="3"/>
            <w:tcBorders/>
            <w:vAlign w:val="center"/>
          </w:tcPr>
          <w:p>
            <w:pPr>
              <w:pStyle w:val="TableContents"/>
              <w:bidi w:val="0"/>
              <w:spacing w:before="0" w:after="283"/>
              <w:jc w:val="left"/>
              <w:rPr>
                <w:sz w:val="4"/>
                <w:szCs w:val="4"/>
              </w:rPr>
            </w:pPr>
            <w:r>
              <w:rPr>
                <w:sz w:val="4"/>
                <w:szCs w:val="4"/>
              </w:rPr>
            </w:r>
          </w:p>
        </w:tc>
        <w:tc>
          <w:tcPr>
            <w:tcW w:w="6890" w:type="dxa"/>
            <w:gridSpan w:val="9"/>
            <w:tcBorders/>
          </w:tcPr>
          <w:p>
            <w:pPr>
              <w:pStyle w:val="TableContents"/>
              <w:bidi w:val="0"/>
              <w:spacing w:before="0" w:after="283"/>
              <w:jc w:val="left"/>
              <w:rPr>
                <w:sz w:val="4"/>
                <w:szCs w:val="4"/>
              </w:rPr>
            </w:pPr>
            <w:r>
              <w:rPr>
                <w:sz w:val="4"/>
                <w:szCs w:val="4"/>
              </w:rPr>
            </w:r>
          </w:p>
        </w:tc>
      </w:tr>
      <w:tr>
        <w:trPr/>
        <w:tc>
          <w:tcPr>
            <w:tcW w:w="562" w:type="dxa"/>
            <w:gridSpan w:val="3"/>
            <w:tcBorders/>
            <w:vAlign w:val="center"/>
          </w:tcPr>
          <w:p>
            <w:pPr>
              <w:pStyle w:val="TableContents"/>
              <w:bidi w:val="0"/>
              <w:spacing w:before="0" w:after="283"/>
              <w:jc w:val="left"/>
              <w:rPr>
                <w:sz w:val="4"/>
                <w:szCs w:val="4"/>
              </w:rPr>
            </w:pPr>
            <w:r>
              <w:rPr>
                <w:sz w:val="4"/>
                <w:szCs w:val="4"/>
              </w:rPr>
            </w:r>
          </w:p>
        </w:tc>
        <w:tc>
          <w:tcPr>
            <w:tcW w:w="2069"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2991" w:type="dxa"/>
            <w:gridSpan w:val="3"/>
            <w:tcBorders/>
            <w:vAlign w:val="center"/>
          </w:tcPr>
          <w:p>
            <w:pPr>
              <w:pStyle w:val="TableContents"/>
              <w:bidi w:val="0"/>
              <w:spacing w:before="0" w:after="283"/>
              <w:jc w:val="left"/>
              <w:rPr>
                <w:sz w:val="4"/>
                <w:szCs w:val="4"/>
              </w:rPr>
            </w:pPr>
            <w:r>
              <w:rPr>
                <w:sz w:val="4"/>
                <w:szCs w:val="4"/>
              </w:rPr>
            </w:r>
          </w:p>
        </w:tc>
      </w:tr>
      <w:tr>
        <w:trPr/>
        <w:tc>
          <w:tcPr>
            <w:tcW w:w="562" w:type="dxa"/>
            <w:gridSpan w:val="3"/>
            <w:tcBorders/>
            <w:vAlign w:val="center"/>
          </w:tcPr>
          <w:p>
            <w:pPr>
              <w:pStyle w:val="TableContents"/>
              <w:bidi w:val="0"/>
              <w:spacing w:before="0" w:after="283"/>
              <w:jc w:val="left"/>
              <w:rPr>
                <w:sz w:val="4"/>
                <w:szCs w:val="4"/>
              </w:rPr>
            </w:pPr>
            <w:r>
              <w:rPr>
                <w:sz w:val="4"/>
                <w:szCs w:val="4"/>
              </w:rPr>
            </w:r>
          </w:p>
        </w:tc>
        <w:tc>
          <w:tcPr>
            <w:tcW w:w="2069"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2991" w:type="dxa"/>
            <w:gridSpan w:val="3"/>
            <w:tcBorders/>
            <w:vAlign w:val="center"/>
          </w:tcPr>
          <w:p>
            <w:pPr>
              <w:pStyle w:val="TableContents"/>
              <w:bidi w:val="0"/>
              <w:spacing w:before="0" w:after="283"/>
              <w:jc w:val="left"/>
              <w:rPr>
                <w:sz w:val="4"/>
                <w:szCs w:val="4"/>
              </w:rPr>
            </w:pPr>
            <w:r>
              <w:rPr>
                <w:sz w:val="4"/>
                <w:szCs w:val="4"/>
              </w:rPr>
            </w:r>
          </w:p>
        </w:tc>
      </w:tr>
      <w:tr>
        <w:trPr/>
        <w:tc>
          <w:tcPr>
            <w:tcW w:w="562" w:type="dxa"/>
            <w:gridSpan w:val="3"/>
            <w:tcBorders/>
            <w:vAlign w:val="center"/>
          </w:tcPr>
          <w:p>
            <w:pPr>
              <w:pStyle w:val="TableContents"/>
              <w:bidi w:val="0"/>
              <w:spacing w:before="0" w:after="283"/>
              <w:jc w:val="left"/>
              <w:rPr>
                <w:sz w:val="4"/>
                <w:szCs w:val="4"/>
              </w:rPr>
            </w:pPr>
            <w:r>
              <w:rPr>
                <w:sz w:val="4"/>
                <w:szCs w:val="4"/>
              </w:rPr>
            </w:r>
          </w:p>
        </w:tc>
        <w:tc>
          <w:tcPr>
            <w:tcW w:w="2069"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2991" w:type="dxa"/>
            <w:gridSpan w:val="3"/>
            <w:tcBorders/>
            <w:vAlign w:val="center"/>
          </w:tcPr>
          <w:p>
            <w:pPr>
              <w:pStyle w:val="TableContents"/>
              <w:bidi w:val="0"/>
              <w:spacing w:before="0" w:after="283"/>
              <w:jc w:val="left"/>
              <w:rPr>
                <w:sz w:val="4"/>
                <w:szCs w:val="4"/>
              </w:rPr>
            </w:pPr>
            <w:r>
              <w:rPr>
                <w:sz w:val="4"/>
                <w:szCs w:val="4"/>
              </w:rPr>
            </w:r>
          </w:p>
        </w:tc>
      </w:tr>
      <w:tr>
        <w:trPr/>
        <w:tc>
          <w:tcPr>
            <w:tcW w:w="562" w:type="dxa"/>
            <w:gridSpan w:val="3"/>
            <w:tcBorders/>
            <w:vAlign w:val="center"/>
          </w:tcPr>
          <w:p>
            <w:pPr>
              <w:pStyle w:val="TableContents"/>
              <w:bidi w:val="0"/>
              <w:spacing w:before="0" w:after="283"/>
              <w:jc w:val="left"/>
              <w:rPr>
                <w:sz w:val="4"/>
                <w:szCs w:val="4"/>
              </w:rPr>
            </w:pPr>
            <w:r>
              <w:rPr>
                <w:sz w:val="4"/>
                <w:szCs w:val="4"/>
              </w:rPr>
            </w:r>
          </w:p>
        </w:tc>
        <w:tc>
          <w:tcPr>
            <w:tcW w:w="2069"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29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At the time of issuance of the August 2025 Notes (defined below), the related embedded derivative liability had a de minimis fair value. On September 30, 2025, the Company recognized $1,677 for the embedded derivative liability related to the contingent exchange feature. The fair value was determined using a Black-Scholes valuation model, utilizing inputs related to the risk-free rate, volatility, time to liquidity, and the Accelsius Series B-1 issuance price. Specifically, the September 30, 2025 valuation considered a risk-free rate of 3.66%, volatility of 70.00%, time to liquidity of 4.25 years, and an Accelsius Series B-1 unit issuance price of $36.49. The derivative associated with the August 2025 notes were settled in October 2025 due to the conversion of the August 2025 Notes in a qualified financing.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Other</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Our financial instruments that are not re-measured at fair value include prepaid expenses and other current assets, due from related parties, other assets, accounts payable, accrued expenses, accrued employee benefits, other current liabilities and other liabilities as the carrying amounts approximate fair value due to the short maturity terms of these instruments.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0" w:after="120"/>
        <w:jc w:val="left"/>
        <w:rPr/>
      </w:pPr>
      <w:hyperlink w:anchor="i507f7219d73d42a58f688d408612ee4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0"/>
        <w:jc w:val="center"/>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5. Borrowings</w:t>
      </w:r>
    </w:p>
    <w:tbl>
      <w:tblPr>
        <w:tblW w:w="10205" w:type="dxa"/>
        <w:jc w:val="left"/>
        <w:tblInd w:w="0" w:type="dxa"/>
        <w:tblLayout w:type="fixed"/>
        <w:tblCellMar>
          <w:top w:w="28" w:type="dxa"/>
          <w:left w:w="28" w:type="dxa"/>
          <w:bottom w:w="28" w:type="dxa"/>
          <w:right w:w="28" w:type="dxa"/>
        </w:tblCellMar>
      </w:tblPr>
      <w:tblGrid>
        <w:gridCol w:w="1382"/>
        <w:gridCol w:w="1113"/>
        <w:gridCol w:w="1118"/>
        <w:gridCol w:w="352"/>
        <w:gridCol w:w="352"/>
        <w:gridCol w:w="354"/>
        <w:gridCol w:w="326"/>
        <w:gridCol w:w="976"/>
        <w:gridCol w:w="169"/>
        <w:gridCol w:w="363"/>
        <w:gridCol w:w="363"/>
        <w:gridCol w:w="364"/>
        <w:gridCol w:w="109"/>
        <w:gridCol w:w="109"/>
        <w:gridCol w:w="109"/>
        <w:gridCol w:w="300"/>
        <w:gridCol w:w="1047"/>
        <w:gridCol w:w="155"/>
        <w:gridCol w:w="332"/>
        <w:gridCol w:w="332"/>
        <w:gridCol w:w="480"/>
      </w:tblGrid>
      <w:tr>
        <w:trPr/>
        <w:tc>
          <w:tcPr>
            <w:tcW w:w="1382"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r>
      <w:tr>
        <w:trPr/>
        <w:tc>
          <w:tcPr>
            <w:tcW w:w="3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Maturities</w:t>
            </w:r>
          </w:p>
        </w:tc>
        <w:tc>
          <w:tcPr>
            <w:tcW w:w="14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10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Interest Rates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c>
          <w:tcPr>
            <w:tcW w:w="11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Interest Rates</w:t>
            </w:r>
          </w:p>
        </w:tc>
      </w:tr>
      <w:tr>
        <w:trPr/>
        <w:tc>
          <w:tcPr>
            <w:tcW w:w="36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4"/>
              </w:rPr>
            </w:pPr>
            <w:r>
              <w:rPr>
                <w:rFonts w:ascii="Times New Roman;serif" w:hAnsi="Times New Roman;serif"/>
                <w:b w:val="false"/>
                <w:i/>
                <w:color w:val="000000"/>
                <w:sz w:val="14"/>
              </w:rPr>
              <w:t>(in thousands)</w:t>
            </w:r>
          </w:p>
        </w:tc>
        <w:tc>
          <w:tcPr>
            <w:tcW w:w="11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Notes</w:t>
            </w:r>
          </w:p>
        </w:tc>
        <w:tc>
          <w:tcPr>
            <w:tcW w:w="105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2024 - 2025</w:t>
            </w:r>
          </w:p>
        </w:tc>
        <w:tc>
          <w:tcPr>
            <w:tcW w:w="3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 - 15.99%</w:t>
            </w:r>
          </w:p>
        </w:tc>
      </w:tr>
      <w:tr>
        <w:trPr/>
        <w:tc>
          <w:tcPr>
            <w:tcW w:w="36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Series 1 promissory notes</w:t>
            </w:r>
          </w:p>
        </w:tc>
        <w:tc>
          <w:tcPr>
            <w:tcW w:w="105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2025 - 2026</w:t>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 - 15%</w:t>
            </w:r>
          </w:p>
        </w:tc>
      </w:tr>
      <w:tr>
        <w:trPr/>
        <w:tc>
          <w:tcPr>
            <w:tcW w:w="3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convertible notes</w:t>
            </w:r>
          </w:p>
        </w:tc>
        <w:tc>
          <w:tcPr>
            <w:tcW w:w="105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2025 - 2026</w:t>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3.94% - 15%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debentures</w:t>
            </w:r>
          </w:p>
        </w:tc>
        <w:tc>
          <w:tcPr>
            <w:tcW w:w="10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5,572 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r>
              <w:rPr>
                <w:rFonts w:ascii="Times New Roman;serif" w:hAnsi="Times New Roman;serif"/>
                <w:b w:val="false"/>
                <w:color w:val="000000"/>
                <w:sz w:val="20"/>
              </w:rPr>
              <w:t>% - 5%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convertible notes</w:t>
            </w:r>
          </w:p>
        </w:tc>
        <w:tc>
          <w:tcPr>
            <w:tcW w:w="10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3"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36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WTI Facility</w:t>
            </w:r>
          </w:p>
        </w:tc>
        <w:tc>
          <w:tcPr>
            <w:tcW w:w="10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2028</w:t>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19,441 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13.50%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13.50%</w:t>
            </w:r>
          </w:p>
        </w:tc>
      </w:tr>
      <w:tr>
        <w:trPr/>
        <w:tc>
          <w:tcPr>
            <w:tcW w:w="36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Total Notes Payable </w:t>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37,356</w:t>
            </w:r>
            <w:r>
              <w:rPr>
                <w:color w:val="000000"/>
              </w:rPr>
              <w:t>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34,725</w:t>
            </w:r>
            <w:r>
              <w:rPr>
                <w:color w:val="000000"/>
              </w:rPr>
              <w:t> </w:t>
            </w:r>
          </w:p>
        </w:tc>
        <w:tc>
          <w:tcPr>
            <w:tcW w:w="155"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debt discount</w:t>
            </w:r>
          </w:p>
        </w:tc>
        <w:tc>
          <w:tcPr>
            <w:tcW w:w="1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(3,962)</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(6,446)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related party notes payable</w:t>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(14,000)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term convertible note</w:t>
            </w:r>
          </w:p>
        </w:tc>
        <w:tc>
          <w:tcPr>
            <w:tcW w:w="1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(7,890)</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related party term convertible note</w:t>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(4,331)</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notes payable</w:t>
            </w:r>
          </w:p>
        </w:tc>
        <w:tc>
          <w:tcPr>
            <w:tcW w:w="1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(12,846)</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Total Long-term Notes </w:t>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8,327</w:t>
            </w:r>
            <w:r>
              <w:rPr>
                <w:color w:val="000000"/>
              </w:rPr>
              <w:t> </w:t>
            </w:r>
          </w:p>
        </w:tc>
        <w:tc>
          <w:tcPr>
            <w:tcW w:w="16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4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13,654</w:t>
            </w:r>
            <w:r>
              <w:rPr>
                <w:color w:val="000000"/>
              </w:rPr>
              <w:t> </w:t>
            </w:r>
          </w:p>
        </w:tc>
        <w:tc>
          <w:tcPr>
            <w:tcW w:w="15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Company's debt is carried on a historical cost basis net of unamortized discounts and premiums. Costs associated with acquiring debt are presented in the consolidated balance sheets as a direct deduction from the carrying amount of the debt as a debt discount. Discounts on debt are amortized over the contractual life of the related debt instrument using the effective interest method (unless otherwise specified below) and are included in Interest expense, net in the consolidated statements of operations and comprehensive income (loss).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Company’s notes payable, excluding debt issuance costs, mature as follows (in thousands):</w:t>
      </w:r>
    </w:p>
    <w:tbl>
      <w:tblPr>
        <w:tblW w:w="1687" w:type="dxa"/>
        <w:jc w:val="left"/>
        <w:tblInd w:w="0" w:type="dxa"/>
        <w:tblLayout w:type="fixed"/>
        <w:tblCellMar>
          <w:top w:w="28" w:type="dxa"/>
          <w:left w:w="28" w:type="dxa"/>
          <w:bottom w:w="28" w:type="dxa"/>
          <w:right w:w="28" w:type="dxa"/>
        </w:tblCellMar>
      </w:tblPr>
      <w:tblGrid>
        <w:gridCol w:w="212"/>
        <w:gridCol w:w="186"/>
        <w:gridCol w:w="188"/>
        <w:gridCol w:w="211"/>
        <w:gridCol w:w="736"/>
        <w:gridCol w:w="154"/>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586"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37,356</w:t>
            </w:r>
            <w:r>
              <w:rPr>
                <w:color w:val="000000"/>
              </w:rPr>
              <w:t>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Series 1 Promissory Notes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2018, the Company authorized the issuance and sale of unsecured promissory notes to investors up to $35.0 million (the “Series 1 promissory notes”). From 2018 to 2021, the Company issued promissory notes with a total principal amount of $4.9 million. The notes require monthly interest payments, have an original maturity period of 36-48 months, and bear interest at 9%-12% per annum. The notes contain two term extension options, at the Company’s election, which can extend the notes’ maturity period to 60 months in total. If the Company elects its first term extension option, the note will bear interest at 12% for months 36 through 48. If the Company elects its second term extension option, the notes will bear interest at 15% for months 48 through 60.</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Extensions on Series 1 promissory notes were as follows (in thousands):</w:t>
      </w:r>
    </w:p>
    <w:tbl>
      <w:tblPr>
        <w:tblW w:w="8388" w:type="dxa"/>
        <w:jc w:val="left"/>
        <w:tblInd w:w="0" w:type="dxa"/>
        <w:tblLayout w:type="fixed"/>
        <w:tblCellMar>
          <w:top w:w="28" w:type="dxa"/>
          <w:left w:w="28" w:type="dxa"/>
          <w:bottom w:w="28" w:type="dxa"/>
          <w:right w:w="28" w:type="dxa"/>
        </w:tblCellMar>
      </w:tblPr>
      <w:tblGrid>
        <w:gridCol w:w="1576"/>
        <w:gridCol w:w="1385"/>
        <w:gridCol w:w="1389"/>
        <w:gridCol w:w="109"/>
        <w:gridCol w:w="109"/>
        <w:gridCol w:w="461"/>
        <w:gridCol w:w="1021"/>
        <w:gridCol w:w="242"/>
        <w:gridCol w:w="109"/>
        <w:gridCol w:w="109"/>
        <w:gridCol w:w="109"/>
        <w:gridCol w:w="448"/>
        <w:gridCol w:w="992"/>
        <w:gridCol w:w="329"/>
      </w:tblGrid>
      <w:tr>
        <w:trPr/>
        <w:tc>
          <w:tcPr>
            <w:tcW w:w="1576"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Principal amount of 1st extension promissory notes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Principal amount of 2nd extension promissory notes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603 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0" w:after="120"/>
        <w:jc w:val="left"/>
        <w:rPr/>
      </w:pPr>
      <w:hyperlink w:anchor="i507f7219d73d42a58f688d408612ee4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0"/>
        <w:jc w:val="center"/>
        <w:rPr/>
      </w:pPr>
      <w:r>
        <w:rPr/>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Interest expense on Series 1 promissory notes was as follows (in thousands):</w:t>
      </w:r>
    </w:p>
    <w:tbl>
      <w:tblPr>
        <w:tblW w:w="10205" w:type="dxa"/>
        <w:jc w:val="left"/>
        <w:tblInd w:w="0" w:type="dxa"/>
        <w:tblLayout w:type="fixed"/>
        <w:tblCellMar>
          <w:top w:w="28" w:type="dxa"/>
          <w:left w:w="28" w:type="dxa"/>
          <w:bottom w:w="28" w:type="dxa"/>
          <w:right w:w="28" w:type="dxa"/>
        </w:tblCellMar>
      </w:tblPr>
      <w:tblGrid>
        <w:gridCol w:w="971"/>
        <w:gridCol w:w="853"/>
        <w:gridCol w:w="858"/>
        <w:gridCol w:w="574"/>
        <w:gridCol w:w="985"/>
        <w:gridCol w:w="301"/>
        <w:gridCol w:w="109"/>
        <w:gridCol w:w="109"/>
        <w:gridCol w:w="109"/>
        <w:gridCol w:w="769"/>
        <w:gridCol w:w="1319"/>
        <w:gridCol w:w="404"/>
        <w:gridCol w:w="109"/>
        <w:gridCol w:w="109"/>
        <w:gridCol w:w="109"/>
        <w:gridCol w:w="637"/>
        <w:gridCol w:w="1407"/>
        <w:gridCol w:w="473"/>
      </w:tblGrid>
      <w:tr>
        <w:trPr/>
        <w:tc>
          <w:tcPr>
            <w:tcW w:w="97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2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Predecessor</w:t>
            </w:r>
          </w:p>
        </w:tc>
      </w:tr>
      <w:tr>
        <w:trPr/>
        <w:tc>
          <w:tcPr>
            <w:tcW w:w="2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October 2, 2024 through 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January 1, 2024 through October 1, 2024</w:t>
            </w:r>
          </w:p>
        </w:tc>
      </w:tr>
      <w:tr>
        <w:trPr/>
        <w:tc>
          <w:tcPr>
            <w:tcW w:w="26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attributable to contractual interest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Subsequent to December 31, 2025, in January 2026, the company repaid the outstanding balance of the Series 1 promissory notes.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Related Party Notes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entered into unsecured promissory notes with two related parties, the first on August 20, 2024, for a principal amount of $10.0 million, and the second on August 22, 2024, for a principal amount of $2.0 million. The Company entered into amended and restated agreements to amend the terms of these unsecured promissory notes on October 1, 2024. As per the original agreements, the note with the first party contained a loan fee of $1.0 million which was payable with the repayment of the principal amount of the note and the note with the second party contained interest at the rate of 11.50% per annum.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per the amended note with the first party, the maturity date was extended to the earlier of (i) January 31, 2025 or (ii) the first business day following the date on which the Company has sufficient capital to be able to repay all amounts outstanding under the note and otherwise meet its expected working capital needs as determined by the Company in its reasonable discretion. The loan fee of $1.0 million, required under the original agreement, became due on or around the amendment date and interest will accrue at the rate of 15.99% per annum until paid. The amendment was accounted for as a troubled debt restructuring as the Company was provided a concession through a decrease in the effective interest rate. However, no gain or loss was recognized as a result.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per the amended note with the second party, the maturity date was extended to January 31, 2025 and the interest rate was increased to 13.50% per annum. Additionally, $1.0 million of the principal amount became due on or around the amendment date.</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Interest expense on the related party notes was as follows (in thousands):</w:t>
      </w:r>
    </w:p>
    <w:tbl>
      <w:tblPr>
        <w:tblW w:w="10205" w:type="dxa"/>
        <w:jc w:val="left"/>
        <w:tblInd w:w="0" w:type="dxa"/>
        <w:tblLayout w:type="fixed"/>
        <w:tblCellMar>
          <w:top w:w="28" w:type="dxa"/>
          <w:left w:w="28" w:type="dxa"/>
          <w:bottom w:w="28" w:type="dxa"/>
          <w:right w:w="28" w:type="dxa"/>
        </w:tblCellMar>
      </w:tblPr>
      <w:tblGrid>
        <w:gridCol w:w="615"/>
        <w:gridCol w:w="540"/>
        <w:gridCol w:w="544"/>
        <w:gridCol w:w="565"/>
        <w:gridCol w:w="1251"/>
        <w:gridCol w:w="296"/>
        <w:gridCol w:w="109"/>
        <w:gridCol w:w="109"/>
        <w:gridCol w:w="109"/>
        <w:gridCol w:w="775"/>
        <w:gridCol w:w="1716"/>
        <w:gridCol w:w="407"/>
        <w:gridCol w:w="109"/>
        <w:gridCol w:w="109"/>
        <w:gridCol w:w="109"/>
        <w:gridCol w:w="719"/>
        <w:gridCol w:w="1590"/>
        <w:gridCol w:w="533"/>
      </w:tblGrid>
      <w:tr>
        <w:trPr/>
        <w:tc>
          <w:tcPr>
            <w:tcW w:w="615"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r>
      <w:tr>
        <w:trPr/>
        <w:tc>
          <w:tcPr>
            <w:tcW w:w="1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2"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Predecessor</w:t>
            </w:r>
          </w:p>
        </w:tc>
      </w:tr>
      <w:tr>
        <w:trPr/>
        <w:tc>
          <w:tcPr>
            <w:tcW w:w="1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October 2, 2024 through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January 1, 2024 through October 1, 2024</w:t>
            </w:r>
          </w:p>
        </w:tc>
      </w:tr>
      <w:tr>
        <w:trPr/>
        <w:tc>
          <w:tcPr>
            <w:tcW w:w="1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expense</w:t>
            </w:r>
          </w:p>
        </w:tc>
        <w:tc>
          <w:tcPr>
            <w:tcW w:w="56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2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40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932 </w:t>
            </w:r>
          </w:p>
        </w:tc>
        <w:tc>
          <w:tcPr>
            <w:tcW w:w="53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addition to the related party notes above, the Company also had a related party note for $1.0 million through an unsecured promissory note with an additional related party dated May 2, 2024. As per the terms of the executed agreement, the principal amount became due on December 21, 2024 and interest will accrue at the rate of 8.00% per annum. Upon maturity, the Company is required to repay the outstanding principal amount of $1.0 million and a loan fee equal to approximately $0.1 million.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March 20, 2025, in connection with the issuance of Series C Preferred Stock (as defined below), the Company extinguished the outstanding amount of related party notes. The Company recognized a loss $3.5 million in Loss on extinguishment of related party debt on the consolidated statements of operations and comprehensive income (loss) for the year ended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0" w:after="120"/>
        <w:jc w:val="left"/>
        <w:rPr/>
      </w:pPr>
      <w:hyperlink w:anchor="i507f7219d73d42a58f688d408612ee4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0"/>
        <w:jc w:val="center"/>
        <w:rPr/>
      </w:pPr>
      <w:r>
        <w:rPr/>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WTI Facility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October 22, 2024, the Company entered into a term loan with WTI Fund X, Inc. and WTI Fund XI, Inc., (collectively, “WTI Lenders”). The terms of the loan provides for a term loan facility in the aggregate principal amount of up to $50.0 million (the "WTI Facility"). The total aggregate principal was available in three separate tranches subject to the Company meeting certain conditions. The Company received $20.0 million (the “First Tranche”) on November 15, 2024. The First Tranche, principal and interest, shall be repaid over a period of 30 months in equal, monthly installments, commencing after an initial 12-month period of interest-only monthly payments, resulting in a total term of 42 months. The funds under each of the Second Tranche and the Third Tranche are no longer available to the Company.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Borrowings under the WTI Facility will accrue interest at a rate per annum equal to the greater of (i) the “prime rate” of interest, as published by The Wall Street Journal on the date that the WTI Lenders prepare the promissory notes for the borrowings under such tranche, plus 5% and (ii) 13.50% and will amortize, after an interest-only period of twelve months in the case of the First Tranche in equal monthly installments over a period of thirty months. Obligations are secured by a lien on the majority of the assets of Innventure LLC and Innventure, Inc.</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March 21, 2025, in connection with the issuance of the first tranche of Convertible Debentures (as further described below) to Yorkville, the Company and Innventure LLC entered into a consent (the “Consent”) with WTI Fund X, LLC and WTI Fund XI, LLC (the “WTI Holders”) and the WTI Lenders, modifying the WTI Facility. Specifically, under the Consent, the Company and the WTI Lenders and WTI Holders agreed (i) that from and after the date that the Company receives the initial proceeds from the Convertible Debentures and until such time as such obligations have been paid in full, the Company must maintain at least $5.0 million of cash on deposit; (ii) that effective on the date that the Company receives the initial proceeds from the Convertible Debentures, the 2025 WTI Warrants (as further defined and described in Note 11. Warrants) will become payable to the WTI Lenders and their affiliates; and (iii) to certain additional consent provisions. Such provisions from the Consent became effective on April 14, 2025 when the Company received proceeds from the Convertible Debentures. The modification of the WTI Facility was accounted for as an extinguishment of debt though the WTI Facility remains outstanding, resulting in a loss on extinguishment of $3.5 million recorded on the consolidated statements of operations and comprehensive income (loss) for the year ended December 31, 2025. The legal requirement to maintain at least $5.0 million of cash on deposit is presented as Restricted cash on the consolidated balance sheets.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WTI Facility, the Company issued the 2024 WTI Warrants and the 2025 WTI Warrants (collectively the “WTI Warrants”) to the WTI Lenders (as further defined and described in Note 11. Warrants). The Company accounted for each of the WTI Warrants as detachable warrants at their fair value. The fair value of the WTI Warrants was recorded as a liability and as a discount to the WTI Facility on the consolidated balance sheets. The WTI Warrants are classified as a liability in accordance with ASC 480, as they represent an instrument that is not an outstanding share and may require the issuer to settle the obligation by transferring assets, specifically cash. The Company is amortizing the discount over the term of the WTI Facility using the straight-line method.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Interest expense on the WTI facility was as follows (in thousands):</w:t>
      </w:r>
    </w:p>
    <w:tbl>
      <w:tblPr>
        <w:tblW w:w="10205" w:type="dxa"/>
        <w:jc w:val="left"/>
        <w:tblInd w:w="0" w:type="dxa"/>
        <w:tblLayout w:type="fixed"/>
        <w:tblCellMar>
          <w:top w:w="28" w:type="dxa"/>
          <w:left w:w="28" w:type="dxa"/>
          <w:bottom w:w="28" w:type="dxa"/>
          <w:right w:w="28" w:type="dxa"/>
        </w:tblCellMar>
      </w:tblPr>
      <w:tblGrid>
        <w:gridCol w:w="1279"/>
        <w:gridCol w:w="1086"/>
        <w:gridCol w:w="1092"/>
        <w:gridCol w:w="378"/>
        <w:gridCol w:w="1133"/>
        <w:gridCol w:w="195"/>
        <w:gridCol w:w="109"/>
        <w:gridCol w:w="109"/>
        <w:gridCol w:w="109"/>
        <w:gridCol w:w="564"/>
        <w:gridCol w:w="1290"/>
        <w:gridCol w:w="293"/>
        <w:gridCol w:w="109"/>
        <w:gridCol w:w="109"/>
        <w:gridCol w:w="109"/>
        <w:gridCol w:w="610"/>
        <w:gridCol w:w="1176"/>
        <w:gridCol w:w="455"/>
      </w:tblGrid>
      <w:tr>
        <w:trPr/>
        <w:tc>
          <w:tcPr>
            <w:tcW w:w="1279"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3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Predecessor</w:t>
            </w:r>
          </w:p>
        </w:tc>
      </w:tr>
      <w:tr>
        <w:trPr/>
        <w:tc>
          <w:tcPr>
            <w:tcW w:w="3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October 2, 2024 through 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January 1, 2024 through October 1, 2024</w:t>
            </w:r>
          </w:p>
        </w:tc>
      </w:tr>
      <w:tr>
        <w:trPr/>
        <w:tc>
          <w:tcPr>
            <w:tcW w:w="34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attributable to contractual interest</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2,738 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attributable to amortization of issuance costs and discounts</w:t>
            </w:r>
          </w:p>
        </w:tc>
        <w:tc>
          <w:tcPr>
            <w:tcW w:w="1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2,111 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interest expense</w:t>
            </w:r>
          </w:p>
        </w:tc>
        <w:tc>
          <w:tcPr>
            <w:tcW w:w="37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3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4,849</w:t>
            </w:r>
            <w:r>
              <w:rPr>
                <w:color w:val="000000"/>
              </w:rPr>
              <w:t> </w:t>
            </w:r>
          </w:p>
        </w:tc>
        <w:tc>
          <w:tcPr>
            <w:tcW w:w="19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9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600</w:t>
            </w:r>
            <w:r>
              <w:rPr>
                <w:color w:val="000000"/>
              </w:rPr>
              <w:t> </w:t>
            </w:r>
          </w:p>
        </w:tc>
        <w:tc>
          <w:tcPr>
            <w:tcW w:w="29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5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0" w:after="120"/>
        <w:jc w:val="left"/>
        <w:rPr/>
      </w:pPr>
      <w:hyperlink w:anchor="i507f7219d73d42a58f688d408612ee4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0"/>
        <w:jc w:val="center"/>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Convertible Debentures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March 25, 2025, the Company entered into a securities purchase agreement (“Existing Purchase Agreement”) with Yorkville related to the issuance and sale of convertible debentures (“Existing Convertible Debentures” collectively with the New Convertible Debentures defined below, the “Convertible Debentures”) with an aggregate principal amount of up to $30.0 million. The Existing Convertible Debentures are convertible into shares of Common Stock and contain certain features that represent embedded derivatives, which are bifurcated and included within Prepaid expenses and other current assets on the consolidated balance sheets. The Company issued the aggregate principal amount of the Existing Convertible Debentures in two tranches tied to separate reporting and filing requirements.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April 14, 2025, the Company issued the first tranche of the Existing Convertible Debentures with a principal amount of $20.0 million, resulting in cash proceeds to the Company of $18.0 million, representing an original issue discount of 10%. The first tranche was scheduled to be repaid in twelve monthly payments with a 5% payment premium due to the lender with each payment. Also on April 14, 2025, the Company issued two warrants (the “2025 WTI Warrants”) to purchase, at a price of $0.01 per share (subject to certain limitations and adjustment), up to an aggregate total of 495,074 shares of Common Stock, as of the date of issuance and December 31, 2025 (subject to future adjustments to the number and type of shares pursuant to the 2025 WTI Warrants), to the WTI Holders. Each of the 2025 WTI Warrants is exercisable through March 31, 2035.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On May 15, 2025, the Company issued the second tranche of the Existing Convertible Debentures with a principal amount of $10.0 million, resulting in cash proceeds to the Company of $9.0 million, representing an original issue discount of 10%. The second tranche was scheduled to be repaid in eleven monthly payments with a 5% payment premium due to the lender with each payment. There is no contractual interest associated with amounts outstanding for the Existing Convertible Debentures for the year ended December 31, 2025.</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September 15, 2025, the Company entered into an additional amendment to the Existing Purchase Agreement for the Existing Convertible Debentures (the “September 2025 Amendment”). Pursuant to the September 2025 Amendment, the Company and Yorkville agreed to amend the definition of conversion price so that the fixed price of $10.00 was reduced to $7.00 and a floor price of $1.59 was implemented. Additionally, the monthly payments applicable to the Existing Convertible Debentures were removed and replaced with repayment due upon maturity in connection with the early repayment of the approximately $2.0 million. The payment premium on this payment was waived. However, payments and related payment premiums resume should the Innventure stock price fall below the floor price, the Company issues in excess of 99% of Common Stock under the exchange cap or Yorkville is unable to utilize a registration statement to resell shares of Common Stock.</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15, 2025, the Company entered into a securities purchase agreement (the “Securities Purchase Agreement”) with Yorkville for up to $15.0 million in convertible debentures (“New Convertible Debentures”), issuable in two tranches. The first tranche of $10.0 million was issued with a 10% original issue discount, yielding $9.0 million in net proceeds, and bears 5% annual interest, with repayment due September 15, 2026. The debentures are convertible into Common Stock and contain certain features that represent embedded derivatives which are bifurcated and included within Prepaid expenses and other current assets on the condensed consolidated balance sheets.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November 12, 2025, the Company issued the second tranche of the New Convertible Debentures for $5.0 million. The debentures were issued with a 10% original issue discount, yielding $4.5 million in net proceeds, bear 5% annual interest, and mature on September 15, 2026.</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September 2025 Amendment and first and second tranche of the New Convertible Debentures were accounted for collectively as a troubled debt restructuring. The Company determined that a concession was provided based on a decrease in the effective interest rate when compared to the original terms of the Existing Convertible Debentures. Under the troubled debt restructuring a loss on extinguishment of debt of $12.6 million was recorded on the consolidated statements of operations and comprehensive income (loss) for the year ended December 31,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0" w:after="120"/>
        <w:jc w:val="left"/>
        <w:rPr/>
      </w:pPr>
      <w:hyperlink w:anchor="i507f7219d73d42a58f688d408612ee4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0"/>
        <w:jc w:val="center"/>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the Company issued 997,573 shares of its Common Stock pursuant to the SEPA in payment of $4.9 million of principal and $0.2 million of payment premium for the Convertible Debentures. Also, the Company issued 10,005,859 shares of Common Stock due to the exercise of conversion option by Yorkville for a principal amount of $30.7 million of the Convertible Debentures. For further information on this conversion, see Note 13. Stockholders' Equity. During the year ended December 31, 2025 the Company made cash payments toward the Convertible Debentures totaling $3.4 million of principal and $0.1 million of payment premium.</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Subsequent to December 31, 2025, on January 27, 2026, the Company issued 304,377 shares of Common Stock due to the exercise of conversion option by Yorkville for a principal amount of $1.0 million of the Convertible Debentures. Additionally, we made a cash payment of $5.5 million inclusive of principal, interest and fees, satisfying the Convertible Debentures in full.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Interest expense on the Convertible Debentures was as follows (in thousands):</w:t>
      </w:r>
    </w:p>
    <w:tbl>
      <w:tblPr>
        <w:tblW w:w="10205" w:type="dxa"/>
        <w:jc w:val="left"/>
        <w:tblInd w:w="0" w:type="dxa"/>
        <w:tblLayout w:type="fixed"/>
        <w:tblCellMar>
          <w:top w:w="28" w:type="dxa"/>
          <w:left w:w="28" w:type="dxa"/>
          <w:bottom w:w="28" w:type="dxa"/>
          <w:right w:w="28" w:type="dxa"/>
        </w:tblCellMar>
      </w:tblPr>
      <w:tblGrid>
        <w:gridCol w:w="948"/>
        <w:gridCol w:w="787"/>
        <w:gridCol w:w="791"/>
        <w:gridCol w:w="383"/>
        <w:gridCol w:w="1146"/>
        <w:gridCol w:w="199"/>
        <w:gridCol w:w="109"/>
        <w:gridCol w:w="109"/>
        <w:gridCol w:w="109"/>
        <w:gridCol w:w="765"/>
        <w:gridCol w:w="1473"/>
        <w:gridCol w:w="397"/>
        <w:gridCol w:w="109"/>
        <w:gridCol w:w="109"/>
        <w:gridCol w:w="109"/>
        <w:gridCol w:w="726"/>
        <w:gridCol w:w="1397"/>
        <w:gridCol w:w="539"/>
      </w:tblGrid>
      <w:tr>
        <w:trPr/>
        <w:tc>
          <w:tcPr>
            <w:tcW w:w="948"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r>
      <w:tr>
        <w:trPr/>
        <w:tc>
          <w:tcPr>
            <w:tcW w:w="2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2"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Predecessor</w:t>
            </w:r>
          </w:p>
        </w:tc>
      </w:tr>
      <w:tr>
        <w:trPr/>
        <w:tc>
          <w:tcPr>
            <w:tcW w:w="2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 Ended 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Period from October 2, 2024 through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Period from January 1 2024 through October 1, 2024</w:t>
            </w:r>
          </w:p>
        </w:tc>
      </w:tr>
      <w:tr>
        <w:trPr/>
        <w:tc>
          <w:tcPr>
            <w:tcW w:w="2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attributable to contractual interest</w:t>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attributable to amortization of issuance costs</w:t>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4,279 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interest expense</w:t>
            </w:r>
          </w:p>
        </w:tc>
        <w:tc>
          <w:tcPr>
            <w:tcW w:w="38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4,510</w:t>
            </w:r>
            <w:r>
              <w:rPr>
                <w:color w:val="000000"/>
              </w:rPr>
              <w:t> </w:t>
            </w:r>
          </w:p>
        </w:tc>
        <w:tc>
          <w:tcPr>
            <w:tcW w:w="19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47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9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9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3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Term Convertible Notes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At various dates in June and July of 2025, Accelsius entered into unsecured convertible notes with various other parties (the “Term Convertible Notes”) for a total principal amount of $7.8 million. The Term Convertible Notes have a stated maturity date of December 31, 2026 and bear interest at the annual applicable federal rate published by the Internal Revenue Service.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Term Convertible Notes, which are subordinated to the WTI Facility, are convertible at the option of the lenders, starting January 2, 2026, for all amounts due under the notes at the time of conversion, into Accelsius’ Series A Units at a price per unit equal to $12.18. For as long as any portion of the WTI Facility remains outstanding, the lenders will not demand payment related to this Term Convertible Notes, unless they convert the debt into equity.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interest expense on the Term Convertible Notes was $0.2 million for the year ended December 31, 2025.</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Related Party Convertible Notes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June 26, 2025, Accelsius entered into an unsecured Convertible Promissory Note (“CPN”) with a related party lender. The maximum principal amount under the CPN is $3.0 million, issuable in three equal draws, upon the request of Accelsius and subject to the related party’s sole discretion. On June 27, 2025, Accelsius received the first $1.0 million draw and on July 24, 2025 received the second $1.0 million draw. The CPN had a stated interest rate of 15% and Accelsius was required to pay an immaterial loan fee (“Loan Fee”) upon maturity, repayment or conversion of this note. On October 8, 2025, the Company repaid the CPN in full due to its related party, amounting to $2.0 million in principal and $0.1 million in interest and loan fees, for a total of $2.1 million.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CPN was convertible at the option of the related party lender for all amounts due under the Convertible Note, including the Loan Fee, into either preferred units of Accelsius at a price equal to 80% of the next funding round price if Accelsius raises at least $5.0 million from unaffiliated investors, or into common units of Accelsius, if no such funding round occurs before the maturity date, with unit pricing of common units determined by an independent valuation firm.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88" w:before="0" w:after="120"/>
        <w:jc w:val="left"/>
        <w:rPr/>
      </w:pPr>
      <w:hyperlink w:anchor="i507f7219d73d42a58f688d408612ee4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June of 2025, Accelsius also entered into unsecured convertible notes (“Related Party Term Convertible Notes”, together with the CPN, the “Related Party Convertible Notes”) with certain investors deemed to be Related Parties (as defined in the Company’s Related Party Transactions Policy) for a total principal amount of $4.2 million. The Related Party Term Convertible Notes have a stated maturity date of December 31, 2026 and bear interest at the annual applicable federal rate published by the Internal Revenue Service.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Related Party Term Convertible Notes, which are subordinated to the WTI Facility, are convertible at the option of the lenders, starting January 2, 2026, for all amounts due under the notes at the time of conversion, into Accelsius’ Series A Units at a price per unit equal to $12.18. For as long as any portion of the WTI Facility remains outstanding, the Related Party Term Convertible Notes lenders will not demand payment related to the Related Party Term Convertible Notes, unless they convert the debt into equity.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interest expense on Related Party Convertible Notes, including the amortization of the loan fee, was $0.2 million for the year ended December 31, 2025.</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August 2025 Notes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Between August 12, 2025 and September 19, 2025, Accelsius issued unsecured convertible promissory notes (the “August 2025 Notes”) totaling $9.2 million in principal, with $7.3 million in proceeds received by December 31, 2025. The notes bear interest at 6.5% annually, are repayable upon demand after two years and are subordinate to existing senior debt. Upon the Company’s next preferred equity round raising at least $5.0 million from unaffiliated investors, the notes will automatically convert into preferred units at 80% of the unit price, with accompanying warrants exercisable for 0.5 units at 120% of the unit price. On October 2, 2025, the August 2025 Notes were converted into 251,452 Series B-2 units. For further information on this conversion, see Note 13. Stockholders' Equity.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August 2025 Notes are subordinate to the WTI Facility, Convertible Debentures, Term Convertible Notes and indebtedness of Accelsius owed to Innventure LLC and for as long as any portion of these senior debts remains outstanding, the lenders will not demand payment related to this August 2025 Notes, unless they convert the debt into equity.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interest expense on the August 2025 Notes was immaterial for the December 31, 2025.</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Convertible Promissory Notes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Accelsius previously issued 8% convertible promissory notes (the “2025 Notes”) that can be converted into equity units at the later of a qualified financing event or upon maturity, which is 36-months. A qualified financing event is one or more transactions that results in gross proceeds of at least $2.0 million. Upon the occurrence of a qualified financing event, the 2025 Notes convert to the series of stock issued in that financing at the lesser of (a) a 20% discount or (b) $200.0 million divided by the number of fully diluted units outstanding immediately prior to the financing. This conversion option is accounted for as a derivative instrument and the fair value of such is discussed in Note 4. Fair Value.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March 31, 2024, the 2025 Notes with a $6.0 million principal balance and $0.8 million of accrued interest were converted into 693,480 Accelsius Series A units at a conversion price of $9.74 per share. The conversion was pursuant to the occurrence of a qualified financing event. The related embedded derivative liability was extinguished in connection with the conversion, resulting in a loss on conversion of $1.1 million recorded on the consolidated statements of operations and comprehensive income (loss) in the Predecessor period from January 1, 2024 through October 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88" w:before="0" w:after="120"/>
        <w:jc w:val="left"/>
        <w:rPr/>
      </w:pPr>
      <w:hyperlink w:anchor="i507f7219d73d42a58f688d408612ee4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on the 2025 Notes was as follows (in thousands):</w:t>
      </w:r>
    </w:p>
    <w:tbl>
      <w:tblPr>
        <w:tblW w:w="10205" w:type="dxa"/>
        <w:jc w:val="center"/>
        <w:tblInd w:w="0" w:type="dxa"/>
        <w:tblLayout w:type="fixed"/>
        <w:tblCellMar>
          <w:top w:w="28" w:type="dxa"/>
          <w:left w:w="28" w:type="dxa"/>
          <w:bottom w:w="28" w:type="dxa"/>
          <w:right w:w="28" w:type="dxa"/>
        </w:tblCellMar>
      </w:tblPr>
      <w:tblGrid>
        <w:gridCol w:w="918"/>
        <w:gridCol w:w="751"/>
        <w:gridCol w:w="764"/>
        <w:gridCol w:w="468"/>
        <w:gridCol w:w="902"/>
        <w:gridCol w:w="243"/>
        <w:gridCol w:w="109"/>
        <w:gridCol w:w="109"/>
        <w:gridCol w:w="109"/>
        <w:gridCol w:w="692"/>
        <w:gridCol w:w="1333"/>
        <w:gridCol w:w="359"/>
        <w:gridCol w:w="109"/>
        <w:gridCol w:w="109"/>
        <w:gridCol w:w="109"/>
        <w:gridCol w:w="109"/>
        <w:gridCol w:w="109"/>
        <w:gridCol w:w="109"/>
        <w:gridCol w:w="693"/>
        <w:gridCol w:w="1582"/>
        <w:gridCol w:w="359"/>
        <w:gridCol w:w="160"/>
      </w:tblGrid>
      <w:tr>
        <w:trPr/>
        <w:tc>
          <w:tcPr>
            <w:tcW w:w="918"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3"/>
            <w:tcBorders/>
            <w:tcMar>
              <w:top w:w="0" w:type="dxa"/>
              <w:left w:w="0" w:type="dxa"/>
              <w:bottom w:w="0" w:type="dxa"/>
              <w:right w:w="0" w:type="dxa"/>
            </w:tcMar>
            <w:vAlign w:val="center"/>
          </w:tcPr>
          <w:p>
            <w:pPr>
              <w:pStyle w:val="TableContents"/>
              <w:bidi w:val="0"/>
              <w:spacing w:lineRule="auto" w:line="288" w:before="0" w:after="283"/>
              <w:ind w:left="0" w:right="0" w:firstLine="360"/>
              <w:jc w:val="center"/>
              <w:rPr>
                <w:rFonts w:ascii="Times New Roman;serif" w:hAnsi="Times New Roman;serif"/>
                <w:b/>
                <w:color w:val="000000"/>
                <w:sz w:val="20"/>
              </w:rPr>
            </w:pPr>
            <w:r>
              <w:rPr>
                <w:rFonts w:ascii="Times New Roman;serif" w:hAnsi="Times New Roman;serif"/>
                <w:b/>
                <w:color w:val="000000"/>
                <w:sz w:val="20"/>
              </w:rPr>
              <w:t>Predecessor</w:t>
            </w:r>
          </w:p>
        </w:tc>
        <w:tc>
          <w:tcPr>
            <w:tcW w:w="160" w:type="dxa"/>
            <w:tcBorders/>
          </w:tcPr>
          <w:p>
            <w:pPr>
              <w:pStyle w:val="TableContents"/>
              <w:bidi w:val="0"/>
              <w:spacing w:before="0" w:after="283"/>
              <w:jc w:val="left"/>
              <w:rPr>
                <w:sz w:val="4"/>
                <w:szCs w:val="4"/>
              </w:rPr>
            </w:pPr>
            <w:r>
              <w:rPr>
                <w:sz w:val="4"/>
                <w:szCs w:val="4"/>
              </w:rPr>
            </w:r>
          </w:p>
        </w:tc>
      </w:tr>
      <w:tr>
        <w:trPr/>
        <w:tc>
          <w:tcPr>
            <w:tcW w:w="2433" w:type="dxa"/>
            <w:gridSpan w:val="3"/>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16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 Ended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Period from October 2, 2024 through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Period from January 1, 2024 through October 1, 2024</w:t>
            </w:r>
          </w:p>
        </w:tc>
        <w:tc>
          <w:tcPr>
            <w:tcW w:w="160" w:type="dxa"/>
            <w:tcBorders/>
            <w:vAlign w:val="center"/>
          </w:tcPr>
          <w:p>
            <w:pPr>
              <w:pStyle w:val="TableContents"/>
              <w:bidi w:val="0"/>
              <w:spacing w:before="0" w:after="283"/>
              <w:jc w:val="left"/>
              <w:rPr>
                <w:sz w:val="4"/>
                <w:szCs w:val="4"/>
              </w:rPr>
            </w:pPr>
            <w:r>
              <w:rPr>
                <w:sz w:val="4"/>
                <w:szCs w:val="4"/>
              </w:rPr>
            </w:r>
          </w:p>
        </w:tc>
      </w:tr>
      <w:tr>
        <w:trPr/>
        <w:tc>
          <w:tcPr>
            <w:tcW w:w="24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attributable to contractual interest</w:t>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4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attributable to amortization of implied discounts</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interest expense</w:t>
            </w:r>
          </w:p>
        </w:tc>
        <w:tc>
          <w:tcPr>
            <w:tcW w:w="46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3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5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58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351</w:t>
            </w:r>
            <w:r>
              <w:rPr>
                <w:color w:val="000000"/>
              </w:rPr>
              <w:t> </w:t>
            </w:r>
          </w:p>
        </w:tc>
        <w:tc>
          <w:tcPr>
            <w:tcW w:w="35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88" w:before="0" w:after="120"/>
        <w:jc w:val="left"/>
        <w:rPr/>
      </w:pPr>
      <w:hyperlink w:anchor="i507f7219d73d42a58f688d408612ee4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0"/>
        <w:jc w:val="center"/>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6. Inventories, net</w:t>
      </w:r>
    </w:p>
    <w:tbl>
      <w:tblPr>
        <w:tblW w:w="5396" w:type="dxa"/>
        <w:jc w:val="left"/>
        <w:tblInd w:w="0" w:type="dxa"/>
        <w:tblLayout w:type="fixed"/>
        <w:tblCellMar>
          <w:top w:w="28" w:type="dxa"/>
          <w:left w:w="28" w:type="dxa"/>
          <w:bottom w:w="28" w:type="dxa"/>
          <w:right w:w="28" w:type="dxa"/>
        </w:tblCellMar>
      </w:tblPr>
      <w:tblGrid>
        <w:gridCol w:w="570"/>
        <w:gridCol w:w="501"/>
        <w:gridCol w:w="504"/>
        <w:gridCol w:w="382"/>
        <w:gridCol w:w="1144"/>
        <w:gridCol w:w="199"/>
        <w:gridCol w:w="109"/>
        <w:gridCol w:w="109"/>
        <w:gridCol w:w="109"/>
        <w:gridCol w:w="374"/>
        <w:gridCol w:w="1121"/>
        <w:gridCol w:w="274"/>
      </w:tblGrid>
      <w:tr>
        <w:trPr/>
        <w:tc>
          <w:tcPr>
            <w:tcW w:w="57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3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2,974 </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1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2,154 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inventories</w:t>
            </w:r>
          </w:p>
        </w:tc>
        <w:tc>
          <w:tcPr>
            <w:tcW w:w="38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4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1,604</w:t>
            </w:r>
            <w:r>
              <w:rPr>
                <w:color w:val="000000"/>
              </w:rPr>
              <w:t> </w:t>
            </w:r>
          </w:p>
        </w:tc>
        <w:tc>
          <w:tcPr>
            <w:tcW w:w="19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5,178</w:t>
            </w:r>
            <w:r>
              <w:rPr>
                <w:color w:val="000000"/>
              </w:rPr>
              <w:t> </w:t>
            </w:r>
          </w:p>
        </w:tc>
        <w:tc>
          <w:tcPr>
            <w:tcW w:w="27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lineRule="auto" w:line="288" w:before="0" w:after="120"/>
        <w:jc w:val="left"/>
        <w:rPr/>
      </w:pPr>
      <w:hyperlink w:anchor="i507f7219d73d42a58f688d408612ee4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0"/>
        <w:jc w:val="center"/>
        <w:rPr/>
      </w:pPr>
      <w:r>
        <w:rPr/>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Note 7. Property, Plant and Equipment</w:t>
      </w:r>
    </w:p>
    <w:tbl>
      <w:tblPr>
        <w:tblW w:w="7210" w:type="dxa"/>
        <w:jc w:val="left"/>
        <w:tblInd w:w="0" w:type="dxa"/>
        <w:tblLayout w:type="fixed"/>
        <w:tblCellMar>
          <w:top w:w="28" w:type="dxa"/>
          <w:left w:w="28" w:type="dxa"/>
          <w:bottom w:w="28" w:type="dxa"/>
          <w:right w:w="28" w:type="dxa"/>
        </w:tblCellMar>
      </w:tblPr>
      <w:tblGrid>
        <w:gridCol w:w="1228"/>
        <w:gridCol w:w="1078"/>
        <w:gridCol w:w="1083"/>
        <w:gridCol w:w="382"/>
        <w:gridCol w:w="1144"/>
        <w:gridCol w:w="199"/>
        <w:gridCol w:w="109"/>
        <w:gridCol w:w="109"/>
        <w:gridCol w:w="109"/>
        <w:gridCol w:w="374"/>
        <w:gridCol w:w="1121"/>
        <w:gridCol w:w="274"/>
      </w:tblGrid>
      <w:tr>
        <w:trPr/>
        <w:tc>
          <w:tcPr>
            <w:tcW w:w="1228"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Successor</w:t>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1" w:type="dxa"/>
            <w:gridSpan w:val="9"/>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3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960 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&amp; equipment</w:t>
            </w:r>
          </w:p>
        </w:tc>
        <w:tc>
          <w:tcPr>
            <w:tcW w:w="1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664 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Computers &amp; office equipment</w:t>
            </w:r>
          </w:p>
        </w:tc>
        <w:tc>
          <w:tcPr>
            <w:tcW w:w="1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Property, Plant and Equipment, Gross </w:t>
            </w:r>
          </w:p>
        </w:tc>
        <w:tc>
          <w:tcPr>
            <w:tcW w:w="1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2,910</w:t>
            </w:r>
            <w:r>
              <w:rPr>
                <w:color w:val="000000"/>
              </w:rPr>
              <w:t>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1,492</w:t>
            </w:r>
            <w:r>
              <w:rPr>
                <w:color w:val="000000"/>
              </w:rPr>
              <w:t> </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(969)</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Property, Plant and Equipment, Net </w:t>
            </w:r>
          </w:p>
        </w:tc>
        <w:tc>
          <w:tcPr>
            <w:tcW w:w="38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4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1,941</w:t>
            </w:r>
            <w:r>
              <w:rPr>
                <w:color w:val="000000"/>
              </w:rPr>
              <w:t> </w:t>
            </w:r>
          </w:p>
        </w:tc>
        <w:tc>
          <w:tcPr>
            <w:tcW w:w="19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1,414</w:t>
            </w:r>
            <w:r>
              <w:rPr>
                <w:color w:val="000000"/>
              </w:rPr>
              <w:t> </w:t>
            </w:r>
          </w:p>
        </w:tc>
        <w:tc>
          <w:tcPr>
            <w:tcW w:w="27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Total depreciation expense on property, plant and equipment was as follows (in thousands):</w:t>
      </w:r>
    </w:p>
    <w:tbl>
      <w:tblPr>
        <w:tblW w:w="10205" w:type="dxa"/>
        <w:jc w:val="left"/>
        <w:tblInd w:w="0" w:type="dxa"/>
        <w:tblLayout w:type="fixed"/>
        <w:tblCellMar>
          <w:top w:w="28" w:type="dxa"/>
          <w:left w:w="28" w:type="dxa"/>
          <w:bottom w:w="28" w:type="dxa"/>
          <w:right w:w="28" w:type="dxa"/>
        </w:tblCellMar>
      </w:tblPr>
      <w:tblGrid>
        <w:gridCol w:w="564"/>
        <w:gridCol w:w="496"/>
        <w:gridCol w:w="497"/>
        <w:gridCol w:w="513"/>
        <w:gridCol w:w="1136"/>
        <w:gridCol w:w="269"/>
        <w:gridCol w:w="109"/>
        <w:gridCol w:w="109"/>
        <w:gridCol w:w="109"/>
        <w:gridCol w:w="942"/>
        <w:gridCol w:w="1616"/>
        <w:gridCol w:w="491"/>
        <w:gridCol w:w="109"/>
        <w:gridCol w:w="109"/>
        <w:gridCol w:w="109"/>
        <w:gridCol w:w="766"/>
        <w:gridCol w:w="1693"/>
        <w:gridCol w:w="568"/>
      </w:tblGrid>
      <w:tr>
        <w:trPr/>
        <w:tc>
          <w:tcPr>
            <w:tcW w:w="56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Predecessor</w:t>
            </w:r>
          </w:p>
        </w:tc>
      </w:tr>
      <w:tr>
        <w:trPr/>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 Ended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Period from October 2, 2024 through 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Period from January 1 2024 through October 1, 2024</w:t>
            </w:r>
          </w:p>
        </w:tc>
      </w:tr>
      <w:tr>
        <w:trPr/>
        <w:tc>
          <w:tcPr>
            <w:tcW w:w="15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w:t>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lineRule="auto" w:line="288" w:before="0" w:after="120"/>
        <w:jc w:val="left"/>
        <w:rPr/>
      </w:pPr>
      <w:hyperlink w:anchor="i507f7219d73d42a58f688d408612ee4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0"/>
        <w:jc w:val="center"/>
        <w:rPr/>
      </w:pPr>
      <w:r>
        <w:rPr/>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Note 8. Business Combination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discussed in Note 1. Nature of Business, the Closing of the Business Combination occurred on October 2, 2024 pursuant to the terms of the Business Combination Agreement. Upon Closing, 250,000,000 shares of the Company’s common stock (“Common Stock”), par value $0.0001 per share, and 25,000,000 shares of the Company’s preferred stock, par value $0.0001 per share, were authorized. Of the 25,000,000 shares of preferred stock authorized, the Company designated 3,000,000 shares as Series B preferred stock ("Series B Preferred Stock").</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a result of the Business Combination, (a) each Learn CW Class A ordinary share and Class B ordinary share issued and outstanding immediately prior to Closing (and not cancelled or redeemed) was converted into the right to receive one share of Common Stock; (b) each Learn CW public warrant and private placement warrant outstanding immediately prior to Closing was assumed and converted into a Company warrant ("Warrant"); (c) the Innventure LLC equity units (other than the Innventure LLC Class PCTA units ("Class PCTA Units") and Class I units ("Class I Units")) issued and outstanding immediately prior to Closing were converted into the right to receive shares of Common Stock; and (d) the Class PCTA Units and the Class I Units of Innventure LLC remained outstanding.</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Business Combination has been accounted for using the acquisition method of accounting. Holdco was determined to be the accounting acquirer as Innventure LLC was determined to be a VIE and Holdco was determined to be the primary beneficiary. In applying the VIE model, the Class I and Class PCTA Units and associated assets and liabilities are considered silos within Innventure LLC for which Holdco is not considered the primary beneficiary; therefore such silos were not acquired and are omitted from the Company’s consolidated financial statements. Accordingly, the Company recorded all assets acquired and liabilities assumed that Holdco was determined to be the primary beneficiary of at their acquisition date fair values, with any excess recognized as goodwill.</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Consideration Transferred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aggregate consideration for the Business Combination (the “Purchase Consideration”) paid to the holders of Innventure LLC’s outstanding equity and profits interests and warrants, other than the Class PCTA Units and the Class I Units (such holders, the “Innventure Members”), consisted of 43,494,999 shares of Common Stock. A portion of this Purchase Consideration to be delivered to Innventure Members consists of a contingent right to receive up to 5,000,000 (the “Company Earnout Shares”) shares of Common Stock. Refer to Note 10. Earnout Shares for more details on the Company Earnout Shares.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Immediately after giving effect to the Business Combination (including as a result of the conversions described above), there were 43,589,850 shares of Common Stock and 18,645,997 Warrants issued and outstanding. As of the Closing, the Innventure Members owned approximately 88.3% of the Company’s outstanding shares of Common Stock and the former shareholders of Learn CW, including (i) Learn CW's sponsor, CWAM LC Sponsor LLC (the “Sponsor”) and (ii) Learn CW's independent directors, owned approximately 13.7% of the Company’s outstanding shares of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lineRule="auto" w:line="288" w:before="0" w:after="120"/>
        <w:jc w:val="left"/>
        <w:rPr/>
      </w:pPr>
      <w:hyperlink w:anchor="i507f7219d73d42a58f688d408612ee4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0"/>
        <w:jc w:val="center"/>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number of shares of Common Stock issued and outstanding at the Closing of the Business Combination were:</w:t>
      </w:r>
    </w:p>
    <w:tbl>
      <w:tblPr>
        <w:tblW w:w="10205" w:type="dxa"/>
        <w:jc w:val="left"/>
        <w:tblInd w:w="0" w:type="dxa"/>
        <w:tblLayout w:type="fixed"/>
        <w:tblCellMar>
          <w:top w:w="28" w:type="dxa"/>
          <w:left w:w="28" w:type="dxa"/>
          <w:bottom w:w="28" w:type="dxa"/>
          <w:right w:w="28" w:type="dxa"/>
        </w:tblCellMar>
      </w:tblPr>
      <w:tblGrid>
        <w:gridCol w:w="1200"/>
        <w:gridCol w:w="1004"/>
        <w:gridCol w:w="1011"/>
        <w:gridCol w:w="785"/>
        <w:gridCol w:w="657"/>
        <w:gridCol w:w="658"/>
        <w:gridCol w:w="109"/>
        <w:gridCol w:w="109"/>
        <w:gridCol w:w="109"/>
        <w:gridCol w:w="703"/>
        <w:gridCol w:w="703"/>
        <w:gridCol w:w="705"/>
        <w:gridCol w:w="109"/>
        <w:gridCol w:w="109"/>
        <w:gridCol w:w="109"/>
        <w:gridCol w:w="767"/>
        <w:gridCol w:w="573"/>
        <w:gridCol w:w="785"/>
      </w:tblGrid>
      <w:tr>
        <w:trPr/>
        <w:tc>
          <w:tcPr>
            <w:tcW w:w="1200"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r>
      <w:tr>
        <w:trPr/>
        <w:tc>
          <w:tcPr>
            <w:tcW w:w="3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Innventure LLC Units</w:t>
            </w:r>
          </w:p>
        </w:tc>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Immediately Prior to Closing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Conversion 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Upon Closing</w:t>
            </w:r>
          </w:p>
        </w:tc>
      </w:tr>
      <w:tr>
        <w:trPr/>
        <w:tc>
          <w:tcPr>
            <w:tcW w:w="3215"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Class B Preferred Units</w:t>
            </w:r>
          </w:p>
        </w:tc>
        <w:tc>
          <w:tcPr>
            <w:tcW w:w="14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10,875,000 </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2.09</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22,754,664 </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Class B-1 Preferred Units</w:t>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5,609,951 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11,738,165 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5"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Class A Units</w:t>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342,608 </w:t>
            </w:r>
          </w:p>
        </w:tc>
        <w:tc>
          <w:tcPr>
            <w:tcW w:w="6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716,867 </w:t>
            </w:r>
          </w:p>
        </w:tc>
        <w:tc>
          <w:tcPr>
            <w:tcW w:w="7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Class C Units</w:t>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1,570,125 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3,285,303 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5"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4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18,397,684 </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38,494,999 </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Learn CW Shares</w:t>
            </w:r>
          </w:p>
        </w:tc>
        <w:tc>
          <w:tcPr>
            <w:tcW w:w="2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Learn CW Public shareholders </w:t>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1,027,674 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1,027,674 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Learn CW Class B Shareholders</w:t>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5,000,000 </w:t>
            </w:r>
          </w:p>
        </w:tc>
        <w:tc>
          <w:tcPr>
            <w:tcW w:w="6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5,000,000 </w:t>
            </w:r>
          </w:p>
        </w:tc>
        <w:tc>
          <w:tcPr>
            <w:tcW w:w="7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4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6,027,674 </w:t>
            </w:r>
          </w:p>
        </w:tc>
        <w:tc>
          <w:tcPr>
            <w:tcW w:w="6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6,027,674 </w:t>
            </w:r>
          </w:p>
        </w:tc>
        <w:tc>
          <w:tcPr>
            <w:tcW w:w="7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Learn CW shares subject to clawback provisions</w:t>
            </w:r>
          </w:p>
        </w:tc>
        <w:tc>
          <w:tcPr>
            <w:tcW w:w="2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(932,823)</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Common Stock Issued and Outstanding at Closing</w:t>
            </w:r>
          </w:p>
        </w:tc>
        <w:tc>
          <w:tcPr>
            <w:tcW w:w="2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43,589,850</w:t>
            </w:r>
            <w:r>
              <w:rPr>
                <w:color w:val="000000"/>
              </w:rPr>
              <w:t> </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consideration transferred for the Business Combination is summarized as follows (in thousands):</w:t>
      </w:r>
    </w:p>
    <w:tbl>
      <w:tblPr>
        <w:tblW w:w="6186" w:type="dxa"/>
        <w:jc w:val="left"/>
        <w:tblInd w:w="0" w:type="dxa"/>
        <w:tblLayout w:type="fixed"/>
        <w:tblCellMar>
          <w:top w:w="28" w:type="dxa"/>
          <w:left w:w="28" w:type="dxa"/>
          <w:bottom w:w="28" w:type="dxa"/>
          <w:right w:w="28" w:type="dxa"/>
        </w:tblCellMar>
      </w:tblPr>
      <w:tblGrid>
        <w:gridCol w:w="1802"/>
        <w:gridCol w:w="1584"/>
        <w:gridCol w:w="1594"/>
        <w:gridCol w:w="211"/>
        <w:gridCol w:w="841"/>
        <w:gridCol w:w="154"/>
      </w:tblGrid>
      <w:tr>
        <w:trPr/>
        <w:tc>
          <w:tcPr>
            <w:tcW w:w="1802"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Holdco Common Stock transferred to Innventure Members</w:t>
            </w:r>
            <w:r>
              <w:rPr>
                <w:rFonts w:ascii="Times New Roman;serif" w:hAnsi="Times New Roman;serif"/>
                <w:b w:val="false"/>
                <w:color w:val="000000"/>
                <w:sz w:val="10"/>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418,441 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Contingent consideration</w:t>
            </w:r>
            <w:r>
              <w:rPr>
                <w:rFonts w:ascii="Times New Roman;serif" w:hAnsi="Times New Roman;serif"/>
                <w:b w:val="false"/>
                <w:color w:val="000000"/>
                <w:sz w:val="10"/>
              </w:rPr>
              <w:t>(2)</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Consideration transferred</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472,421</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Non-controlling interest</w:t>
            </w:r>
            <w:r>
              <w:rPr>
                <w:rFonts w:ascii="Times New Roman;serif" w:hAnsi="Times New Roman;serif"/>
                <w:b w:val="false"/>
                <w:color w:val="000000"/>
                <w:sz w:val="10"/>
              </w:rPr>
              <w:t>(3)</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343,030 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business enterprise value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815,451</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(1) Represents the fair value of the 38,494,999 of aggregate consideration paid in shares (excluding the Company Earnout shares) at a Closing share price of $10.87.</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(2) Represents the fair value of the Company Earnout Shares issued and contingently issuable to Innventure Members. Refer to Note 10. Earnout Shares for more details.</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(3) The non-controlling interest represents the fair value of equity in Accelsius held by non-controlling parties. The fair value is calculated using a discounted cash flow methodology to determine the Accelsius equity value which is pro rated by the non-controlling ownership percentage (Level 3). Significant inputs used to measure the fair value of the non-controlling interest include the long-term growth rate of 3.0%, normalized tax rate of 27.9%, normalized net working capital of 18.0%, and weighted average cost of capital of 17.6%. </w:t>
      </w:r>
    </w:p>
    <w:p>
      <w:pPr>
        <w:pStyle w:val="TextBody"/>
        <w:bidi w:val="0"/>
        <w:spacing w:before="0" w:after="0"/>
        <w:jc w:val="both"/>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Investing cash flow activity as a result of the Business Combination is summarized as follows (in thousands):</w:t>
      </w:r>
    </w:p>
    <w:tbl>
      <w:tblPr>
        <w:tblW w:w="6930" w:type="dxa"/>
        <w:jc w:val="left"/>
        <w:tblInd w:w="0" w:type="dxa"/>
        <w:tblLayout w:type="fixed"/>
        <w:tblCellMar>
          <w:top w:w="28" w:type="dxa"/>
          <w:left w:w="28" w:type="dxa"/>
          <w:bottom w:w="28" w:type="dxa"/>
          <w:right w:w="28" w:type="dxa"/>
        </w:tblCellMar>
      </w:tblPr>
      <w:tblGrid>
        <w:gridCol w:w="2078"/>
        <w:gridCol w:w="1814"/>
        <w:gridCol w:w="1852"/>
        <w:gridCol w:w="324"/>
        <w:gridCol w:w="624"/>
        <w:gridCol w:w="238"/>
      </w:tblGrid>
      <w:tr>
        <w:trPr/>
        <w:tc>
          <w:tcPr>
            <w:tcW w:w="2078"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185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88" w:before="0" w:after="180"/>
              <w:ind w:left="0" w:right="0" w:firstLine="360"/>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consideration transferred</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Cash and cash equivalents acquired</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cash flow activity as a result of the Business Combination</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w:t>
            </w:r>
            <w:r>
              <w:rPr>
                <w:color w:val="000000"/>
              </w:rPr>
              <w:t>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lineRule="auto" w:line="288" w:before="0" w:after="120"/>
        <w:jc w:val="left"/>
        <w:rPr/>
      </w:pPr>
      <w:hyperlink w:anchor="i507f7219d73d42a58f688d408612ee4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0"/>
        <w:jc w:val="center"/>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the Closing Date, Innventure settled certain obligations using cash from the Learn CW trust account that was released at Closing and financing secured through Series B Preferred Stock. The financing secured through Series B Preferred Stock is discussed in Note 13. Stockholders' Equity. </w:t>
      </w:r>
    </w:p>
    <w:tbl>
      <w:tblPr>
        <w:tblW w:w="6314" w:type="dxa"/>
        <w:jc w:val="left"/>
        <w:tblInd w:w="0" w:type="dxa"/>
        <w:tblLayout w:type="fixed"/>
        <w:tblCellMar>
          <w:top w:w="28" w:type="dxa"/>
          <w:left w:w="28" w:type="dxa"/>
          <w:bottom w:w="28" w:type="dxa"/>
          <w:right w:w="28" w:type="dxa"/>
        </w:tblCellMar>
      </w:tblPr>
      <w:tblGrid>
        <w:gridCol w:w="1865"/>
        <w:gridCol w:w="1645"/>
        <w:gridCol w:w="1650"/>
        <w:gridCol w:w="221"/>
        <w:gridCol w:w="772"/>
        <w:gridCol w:w="161"/>
      </w:tblGrid>
      <w:tr>
        <w:trPr/>
        <w:tc>
          <w:tcPr>
            <w:tcW w:w="1865"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proceeds from Learn CW trust account</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proceeds from Series B Preferred Stock issuance</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Innventure, Inc. cash sources</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21,914</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Learn CW accounts payable and accrued expenses</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Learn CW promissory note due to Sponsor</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Innventure LLC transaction costs at Closing</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cash uses</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20,067</w:t>
            </w: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proceeds</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1,847</w:t>
            </w:r>
            <w:r>
              <w:rPr>
                <w:color w:val="000000"/>
              </w:rPr>
              <w:t>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Business Combination has been accounted for as a business combination using the acquisition method of accounting. The total purchase price was allocated to the tangible and identifiable intangible assets acquired and liabilities assumed based on their respective fair values on the acquisition 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lineRule="auto" w:line="288" w:before="0" w:after="120"/>
        <w:jc w:val="left"/>
        <w:rPr/>
      </w:pPr>
      <w:hyperlink w:anchor="i507f7219d73d42a58f688d408612ee4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0"/>
        <w:jc w:val="center"/>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purchase consideration was allocated to the following assets and liabilities (in thousands):</w:t>
      </w:r>
    </w:p>
    <w:tbl>
      <w:tblPr>
        <w:tblW w:w="5353" w:type="dxa"/>
        <w:jc w:val="left"/>
        <w:tblInd w:w="0" w:type="dxa"/>
        <w:tblLayout w:type="fixed"/>
        <w:tblCellMar>
          <w:top w:w="28" w:type="dxa"/>
          <w:left w:w="28" w:type="dxa"/>
          <w:bottom w:w="28" w:type="dxa"/>
          <w:right w:w="28" w:type="dxa"/>
        </w:tblCellMar>
      </w:tblPr>
      <w:tblGrid>
        <w:gridCol w:w="1379"/>
        <w:gridCol w:w="1204"/>
        <w:gridCol w:w="1227"/>
        <w:gridCol w:w="211"/>
        <w:gridCol w:w="841"/>
        <w:gridCol w:w="491"/>
      </w:tblGrid>
      <w:tr>
        <w:trPr/>
        <w:tc>
          <w:tcPr>
            <w:tcW w:w="1379"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1543" w:type="dxa"/>
            <w:gridSpan w:val="3"/>
            <w:tcBorders/>
            <w:tcMar>
              <w:top w:w="0" w:type="dxa"/>
              <w:left w:w="0" w:type="dxa"/>
              <w:bottom w:w="0" w:type="dxa"/>
              <w:right w:w="0" w:type="dxa"/>
            </w:tcMar>
            <w:vAlign w:val="center"/>
          </w:tcPr>
          <w:p>
            <w:pPr>
              <w:pStyle w:val="TableContents"/>
              <w:bidi w:val="0"/>
              <w:spacing w:lineRule="auto" w:line="288" w:before="0" w:after="180"/>
              <w:ind w:left="0" w:right="0" w:firstLine="360"/>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Assets acquired: </w:t>
            </w:r>
          </w:p>
        </w:tc>
        <w:tc>
          <w:tcPr>
            <w:tcW w:w="1543"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Due from related parties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2,824 </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1,955 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Equity method investments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18,449 </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Investment in debt securities - AFS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10,172 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1,227 </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187,500 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Total assets acquired: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223,299</w:t>
            </w:r>
            <w:r>
              <w:rPr>
                <w:color w:val="000000"/>
              </w:rPr>
              <w:t> </w:t>
            </w:r>
          </w:p>
        </w:tc>
        <w:tc>
          <w:tcPr>
            <w:tcW w:w="4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Liabilities assumed: </w:t>
            </w:r>
          </w:p>
        </w:tc>
        <w:tc>
          <w:tcPr>
            <w:tcW w:w="154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6,286</w:t>
            </w:r>
            <w:r>
              <w:rPr>
                <w:color w:val="000000"/>
              </w:rPr>
              <w:t> </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Accrued employee benefits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7,617 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1,972 </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Related party payable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13,932 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Notes payable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975 </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Patent installment payable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13,600 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Deferred tax liability</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30,654 </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Total liabilities assumed: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75,784</w:t>
            </w:r>
            <w:r>
              <w:rPr>
                <w:color w:val="000000"/>
              </w:rPr>
              <w:t>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identifiable assets acquired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147,515</w:t>
            </w:r>
            <w:r>
              <w:rPr>
                <w:color w:val="000000"/>
              </w:rPr>
              <w:t>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Goodwill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667,936</w:t>
            </w:r>
            <w:r>
              <w:rPr>
                <w:color w:val="000000"/>
              </w:rPr>
              <w:t> </w:t>
            </w:r>
          </w:p>
        </w:tc>
        <w:tc>
          <w:tcPr>
            <w:tcW w:w="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assessment of fair value is based on information that was available to management that existed at Closing but not later than one year after Closing.</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Goodwill is recognized as the excess of consideration over the net assets acquired of Innventure LLC and represents the value derived by Innventure LLC’s strong market position and assembled workforce. Goodwill arising from the Business Combination is attributable to the Company’s Technology segment and is not deductible for tax purposes.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lineRule="auto" w:line="288" w:before="0" w:after="120"/>
        <w:jc w:val="left"/>
        <w:rPr/>
      </w:pPr>
      <w:hyperlink w:anchor="i507f7219d73d42a58f688d408612ee4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0"/>
        <w:jc w:val="center"/>
        <w:rPr/>
      </w:pPr>
      <w:r>
        <w:rPr/>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fair value of definite-lived intangible assets as of the Closing Date included (in thousands):</w:t>
      </w:r>
    </w:p>
    <w:tbl>
      <w:tblPr>
        <w:tblW w:w="3201" w:type="dxa"/>
        <w:jc w:val="left"/>
        <w:tblInd w:w="0" w:type="dxa"/>
        <w:tblLayout w:type="fixed"/>
        <w:tblCellMar>
          <w:top w:w="28" w:type="dxa"/>
          <w:left w:w="28" w:type="dxa"/>
          <w:bottom w:w="28" w:type="dxa"/>
          <w:right w:w="28" w:type="dxa"/>
        </w:tblCellMar>
      </w:tblPr>
      <w:tblGrid>
        <w:gridCol w:w="721"/>
        <w:gridCol w:w="635"/>
        <w:gridCol w:w="639"/>
        <w:gridCol w:w="211"/>
        <w:gridCol w:w="841"/>
        <w:gridCol w:w="154"/>
      </w:tblGrid>
      <w:tr>
        <w:trPr/>
        <w:tc>
          <w:tcPr>
            <w:tcW w:w="721"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187,500</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Refer to Note 9. Goodwill and Intangible Assets for additional information.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Predecessor financial statements for the period from January 1, 2024 to October 1, 2024 include $9.6 million of transaction costs from Innventure LLC. These transaction costs are recorded within General and administrative expenses within the consolidated statements of operations and comprehensive income (loss). Prior to the Closing Date, Learn CW incurred $9.2 million of transaction costs related to the Business Combination, which are not reported in the Predecessor consolidated statements of operations and comprehensive income (loss) since Learn CW is not the Predecessor; these transaction costs are included within Accumulated deficit for the Successor period beginning October 2, 2024. Innventure LLC contributed revenues of $0.5 million and net loss of $18.3 million in the consolidated statements of operations and comprehensive income (loss) for the Successor period from October 2, 2024 through December 31, 2024.</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Innventure LLC incurred certain acquiree expenses contingent solely upon the consummation of the Business Combination. Such costs consisted of $5.3 million in transaction costs and $0.2 million of expense related to share-based award accelerated vesting. Such costs are presented “on the line” and are not reflected in either Predecessor or Successor financial statement periods. “On the line” describes those expenses triggered by the consummation of a business combination that are not recognized in the consolidated statements of operations and comprehensive income (loss) as they are not directly attributable to either period but instead were contingent on the Business Combination.</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Pro Forma Financial Information (Unaudited)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unaudited pro forma financial information summarizes the results of operations for the Company as though the Business Combination had occurred as of the beginning of the comparable prior annual reporting period. The Successor and Predecessor Periods for the year ended December 31, 2024 have been combined. The unaudited pro forma financial information has been presented for illustrative purposes only and is not necessarily indicative of results of operations that would have been achieved had the Business Combination taken place on the date indicated, or the future consolidated results of operations of the Company.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unaudited pro forma results reflect the step-up amortization adjustments for the fair value of intangible assets acquired, transaction expenses, public warrant reclass from liabilities to equity, removal of Learn CW investment income, and accelerated vesting of equity-based compensation. The amounts of revenue for the year ended December 31, 2024 was $1.2 million. The amount of net loss for the year ended December 31, 2024 was $106.0 million.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9. Goodwill and Intangible Assets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Goodwill</w:t>
      </w:r>
    </w:p>
    <w:tbl>
      <w:tblPr>
        <w:tblW w:w="4115" w:type="dxa"/>
        <w:jc w:val="left"/>
        <w:tblInd w:w="0" w:type="dxa"/>
        <w:tblLayout w:type="fixed"/>
        <w:tblCellMar>
          <w:top w:w="28" w:type="dxa"/>
          <w:left w:w="28" w:type="dxa"/>
          <w:bottom w:w="28" w:type="dxa"/>
          <w:right w:w="28" w:type="dxa"/>
        </w:tblCellMar>
      </w:tblPr>
      <w:tblGrid>
        <w:gridCol w:w="1052"/>
        <w:gridCol w:w="927"/>
        <w:gridCol w:w="930"/>
        <w:gridCol w:w="211"/>
        <w:gridCol w:w="841"/>
        <w:gridCol w:w="154"/>
      </w:tblGrid>
      <w:tr>
        <w:trPr/>
        <w:tc>
          <w:tcPr>
            <w:tcW w:w="1052"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2024</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667,936</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(346,557)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as of December 31, 2025</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323,463</w:t>
            </w:r>
            <w:r>
              <w:rPr>
                <w:color w:val="000000"/>
              </w:rPr>
              <w:t>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lineRule="auto" w:line="288" w:before="0" w:after="120"/>
        <w:jc w:val="left"/>
        <w:rPr/>
      </w:pPr>
      <w:hyperlink w:anchor="i507f7219d73d42a58f688d408612ee4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annual impairment testing of goodwill, which is performed in the fourth quarter of each fiscal year, the Company continuously monitors for events and circumstances that could negatively impact the key assumptions used in determining fair value and therefore would require interim impairment testing, including long-term revenue growth projections, profitability, discount rates, volatility in the Company's market capitalization and general industry, market and macroeconomic conditions. During the year ended December 31, 2025, the Company recorded $346.6 million in non-deductible, non-cash goodwill impairment charges, within the consolidated statements of operations and comprehensive income (loss) due to sustained decreases in the Company’s publicly quoted share price and market capitalization, which were, at least in part, sensitive to the general downward volatility experienced in the stock market in late February 2025 through April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annual fourth quarter, June 30, 2025 and March 31, 2025 goodwill impairment testing was performed using the income approach via a discounted cash flow model. The income approach estimates fair value by converting future cash flows to a current amount on the measurement date after taking into consideration marketplace conditions. Assumptions including discount rate and estimated future cash flows had a significant impact to the estimated fair value of the reporting unit. These fair values are Level 3 assets in the fair value hierarchy. </w:t>
      </w:r>
    </w:p>
    <w:p>
      <w:pPr>
        <w:pStyle w:val="TextBody"/>
        <w:bidi w:val="0"/>
        <w:spacing w:before="0" w:after="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the event there are further adverse changes in the Company’s projected cash flows or further changes in key assumptions, including but not limited to an increase in the discount rate and further decline in the Company’s stock price, the Company may be required to record additional non-cash impairment charges to goodwill. Such non-cash charges could have a material adverse effect on the Company’s consolidated statements of operations and comprehensive income (loss) and consolidated balance sheets in the reporting period of the charge. </w:t>
      </w:r>
    </w:p>
    <w:p>
      <w:pPr>
        <w:pStyle w:val="TextBody"/>
        <w:bidi w:val="0"/>
        <w:spacing w:before="0" w:after="180"/>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Other intangible assets, net</w:t>
      </w:r>
    </w:p>
    <w:tbl>
      <w:tblPr>
        <w:tblW w:w="10205" w:type="dxa"/>
        <w:jc w:val="left"/>
        <w:tblInd w:w="0" w:type="dxa"/>
        <w:tblLayout w:type="fixed"/>
        <w:tblCellMar>
          <w:top w:w="28" w:type="dxa"/>
          <w:left w:w="28" w:type="dxa"/>
          <w:bottom w:w="28" w:type="dxa"/>
          <w:right w:w="28" w:type="dxa"/>
        </w:tblCellMar>
      </w:tblPr>
      <w:tblGrid>
        <w:gridCol w:w="544"/>
        <w:gridCol w:w="336"/>
        <w:gridCol w:w="331"/>
        <w:gridCol w:w="534"/>
        <w:gridCol w:w="534"/>
        <w:gridCol w:w="535"/>
        <w:gridCol w:w="214"/>
        <w:gridCol w:w="855"/>
        <w:gridCol w:w="110"/>
        <w:gridCol w:w="228"/>
        <w:gridCol w:w="801"/>
        <w:gridCol w:w="120"/>
        <w:gridCol w:w="213"/>
        <w:gridCol w:w="852"/>
        <w:gridCol w:w="110"/>
        <w:gridCol w:w="109"/>
        <w:gridCol w:w="109"/>
        <w:gridCol w:w="109"/>
        <w:gridCol w:w="214"/>
        <w:gridCol w:w="855"/>
        <w:gridCol w:w="110"/>
        <w:gridCol w:w="254"/>
        <w:gridCol w:w="763"/>
        <w:gridCol w:w="132"/>
        <w:gridCol w:w="213"/>
        <w:gridCol w:w="851"/>
        <w:gridCol w:w="169"/>
      </w:tblGrid>
      <w:tr>
        <w:trPr/>
        <w:tc>
          <w:tcPr>
            <w:tcW w:w="54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12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Intangible Asset</w:t>
            </w:r>
          </w:p>
        </w:tc>
        <w:tc>
          <w:tcPr>
            <w:tcW w:w="16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Weighted-Average Amortization Period Remaining (Years)</w:t>
            </w:r>
          </w:p>
        </w:tc>
        <w:tc>
          <w:tcPr>
            <w:tcW w:w="1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Carrying Amount</w:t>
            </w:r>
          </w:p>
        </w:tc>
        <w:tc>
          <w:tcPr>
            <w:tcW w:w="11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Amortization</w:t>
            </w:r>
          </w:p>
        </w:tc>
        <w:tc>
          <w:tcPr>
            <w:tcW w:w="11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Carrying Amount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Carrying Amount</w:t>
            </w:r>
          </w:p>
        </w:tc>
        <w:tc>
          <w:tcPr>
            <w:tcW w:w="11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Amortization</w:t>
            </w:r>
          </w:p>
        </w:tc>
        <w:tc>
          <w:tcPr>
            <w:tcW w:w="12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Carrying Amount</w:t>
            </w:r>
          </w:p>
        </w:tc>
      </w:tr>
      <w:tr>
        <w:trPr/>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1" w:type="dxa"/>
            <w:gridSpan w:val="21"/>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12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16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14.8</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17,800 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(1,390)</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16,410 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17,800 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17,523 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4,600 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(1,915)</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4,600 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Developed technology </w:t>
            </w:r>
          </w:p>
        </w:tc>
        <w:tc>
          <w:tcPr>
            <w:tcW w:w="1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8.0</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165,100 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(23,678)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141,422 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165,100 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(4,718)</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160,382 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finite-lived intangible assets</w:t>
            </w:r>
          </w:p>
        </w:tc>
        <w:tc>
          <w:tcPr>
            <w:tcW w:w="1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intangible assets</w:t>
            </w:r>
          </w:p>
        </w:tc>
        <w:tc>
          <w:tcPr>
            <w:tcW w:w="1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187,530</w:t>
            </w:r>
            <w:r>
              <w:rPr>
                <w:color w:val="000000"/>
              </w:rPr>
              <w:t> </w:t>
            </w:r>
          </w:p>
        </w:tc>
        <w:tc>
          <w:tcPr>
            <w:tcW w:w="11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(26,993)</w:t>
            </w:r>
          </w:p>
        </w:tc>
        <w:tc>
          <w:tcPr>
            <w:tcW w:w="12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160,537</w:t>
            </w:r>
            <w:r>
              <w:rPr>
                <w:color w:val="000000"/>
              </w:rPr>
              <w:t> </w:t>
            </w:r>
          </w:p>
        </w:tc>
        <w:tc>
          <w:tcPr>
            <w:tcW w:w="11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187,530</w:t>
            </w:r>
            <w:r>
              <w:rPr>
                <w:color w:val="000000"/>
              </w:rPr>
              <w:t> </w:t>
            </w:r>
          </w:p>
        </w:tc>
        <w:tc>
          <w:tcPr>
            <w:tcW w:w="11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(5,377)</w:t>
            </w:r>
          </w:p>
        </w:tc>
        <w:tc>
          <w:tcPr>
            <w:tcW w:w="13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182,153</w:t>
            </w:r>
            <w:r>
              <w:rPr>
                <w:color w:val="000000"/>
              </w:rPr>
              <w:t> </w:t>
            </w:r>
          </w:p>
        </w:tc>
        <w:tc>
          <w:tcPr>
            <w:tcW w:w="16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Amortization expense of $21.6 million and $5.4 million was recognized for the years ended December 31, 2025 and for the successor period October, 2 2024 through December 31, 2024, respectively, and is recorded within Cost of sales, General and administrative and Research and development on the consolidated statements of operations and comprehensive income (loss).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lineRule="auto" w:line="288" w:before="0" w:after="120"/>
        <w:jc w:val="left"/>
        <w:rPr/>
      </w:pPr>
      <w:hyperlink w:anchor="i507f7219d73d42a58f688d408612ee4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0"/>
        <w:jc w:val="center"/>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Estimated future amortization expense is as follows (in thousands): </w:t>
      </w:r>
    </w:p>
    <w:tbl>
      <w:tblPr>
        <w:tblW w:w="2985" w:type="dxa"/>
        <w:jc w:val="left"/>
        <w:tblInd w:w="0" w:type="dxa"/>
        <w:tblLayout w:type="fixed"/>
        <w:tblCellMar>
          <w:top w:w="28" w:type="dxa"/>
          <w:left w:w="28" w:type="dxa"/>
          <w:bottom w:w="28" w:type="dxa"/>
          <w:right w:w="28" w:type="dxa"/>
        </w:tblCellMar>
      </w:tblPr>
      <w:tblGrid>
        <w:gridCol w:w="342"/>
        <w:gridCol w:w="300"/>
        <w:gridCol w:w="304"/>
        <w:gridCol w:w="355"/>
        <w:gridCol w:w="1422"/>
        <w:gridCol w:w="262"/>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Amortization Expense</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21,616 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21,234 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20,073 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18,853 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15,173 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63,588 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5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42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160,537</w:t>
            </w:r>
            <w:r>
              <w:rPr>
                <w:color w:val="000000"/>
              </w:rPr>
              <w:t> </w:t>
            </w:r>
          </w:p>
        </w:tc>
        <w:tc>
          <w:tcPr>
            <w:tcW w:w="26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lineRule="auto" w:line="288" w:before="0" w:after="120"/>
        <w:jc w:val="left"/>
        <w:rPr/>
      </w:pPr>
      <w:hyperlink w:anchor="i507f7219d73d42a58f688d408612ee4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0"/>
        <w:jc w:val="center"/>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10. Earnout Shares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Upon Closing of the Business Combination, 5,000,000 Company Earnout Shares were contingently issuable to Innventure Members. Additionally, 344,828 earnout shares were issued to the Sponsor who received consideration in the Business Combination. These shares, referred to as "Sponsor Earnout Shares," are subject to clawback. The Company Earnout Shares and the Sponsor Earnout Shares are collectively referred to as the “Earnout Shares”.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Earnout Shares will vest upon the following milestone conditions: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40% of the Earnout Shares will vest upon Accelsius having entered into binding contracts providing for revenue for the Company (as defined in the Business Combination Agreement) within 7 years following the Closing (the “Vesting Period”) in excess of $15.0 million in revenue ("Milestone One");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40% of the Earnout Shares will vest upon the Company’s formation of a new subsidiary, in partnership with an MNC, as determined using the Innventure LLC's “DownSelect” process, within the Vesting Period ("Milestone Two"); and</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20% of the Earnout Shares will vest upon AeroFlexx having received in excess of $15.0 million in revenue within the Vesting Period ("Milestone Three").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Sponsor Earnout Shares have a vesting provision that occurs upon a change of control event or upon the occurrence of the VWAP of the shares of Innventure, Inc. Common Stock exceeding $11.50 per share for at least twenty days in any immediately preceding thirty day period (the "VWAP Completion Event"). These vesting conditions are not effective on the Company Earnout shares until 6 months following the Business Combination.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Earnout Shares related to Milestone One and Milestone Two were determined to be classified as equity. At Closing, 4,275,862 equity-classified Earnout Shares were fair valued at $46.4 million, inclusive of 2,137,931 Milestone One shares fair valued at $23.2 million and 2,137,931 Milestone Two shares fair valued at $23.2 million which are presented in Additional paid-in capital on the consolidated balance sheets at December 31, 2024.</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7, 2025, a total of 344,828 Sponsor Earnout Shares fully vested and were no longer subject to contingencies as the Company’s public stock price had surpassed $11.50 for twenty consecutive days, thereby fulfilling the vesting provision for the Sponsor Earnout Shares. These vesting conditions were not effective on the Company Earnout Shares until 6 months following the Business Combination.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January 8, 2025, the Company’s Board of Directors formally recognized the creation of the Refinity subsidiary, thereby meeting the Milestone Two conditions for the Company Earnout Shares. As such, 2,000,000 shares of Common Stock were issued on February 4, 2025 as a result of the satisfaction of the respective milestone.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Earnout Shares related to Milestone Three are classified as a liability. There were 1,000,000 and 1,068,966 liability-classified Earnout Shares fair valued at $3.9 million and $14.8 million as of December 31, 2025 and 2024, respectively. The Company recognized losses of $10.0 million and $3.4 million in Change in fair value of financial liabilities on the consolidated statements of operations and comprehensive income (loss) for the year ended December 31, 2025 and for the successor period October 2, 2024 through December 31, 2024, respectively.</w:t>
      </w:r>
    </w:p>
    <w:p>
      <w:pPr>
        <w:pStyle w:val="TextBody"/>
        <w:bidi w:val="0"/>
        <w:spacing w:before="0" w:after="240"/>
        <w:jc w:val="both"/>
        <w:rPr/>
      </w:pPr>
      <w:r>
        <w:rPr/>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spacing w:lineRule="auto" w:line="288" w:before="0" w:after="120"/>
        <w:jc w:val="left"/>
        <w:rPr/>
      </w:pPr>
      <w:hyperlink w:anchor="i507f7219d73d42a58f688d408612ee4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0"/>
        <w:jc w:val="center"/>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11. Warrants</w:t>
      </w:r>
    </w:p>
    <w:tbl>
      <w:tblPr>
        <w:tblW w:w="10205" w:type="dxa"/>
        <w:jc w:val="left"/>
        <w:tblInd w:w="0" w:type="dxa"/>
        <w:tblLayout w:type="fixed"/>
        <w:tblCellMar>
          <w:top w:w="28" w:type="dxa"/>
          <w:left w:w="28" w:type="dxa"/>
          <w:bottom w:w="28" w:type="dxa"/>
          <w:right w:w="28" w:type="dxa"/>
        </w:tblCellMar>
      </w:tblPr>
      <w:tblGrid>
        <w:gridCol w:w="885"/>
        <w:gridCol w:w="777"/>
        <w:gridCol w:w="781"/>
        <w:gridCol w:w="803"/>
        <w:gridCol w:w="575"/>
        <w:gridCol w:w="577"/>
        <w:gridCol w:w="768"/>
        <w:gridCol w:w="591"/>
        <w:gridCol w:w="593"/>
        <w:gridCol w:w="633"/>
        <w:gridCol w:w="633"/>
        <w:gridCol w:w="635"/>
        <w:gridCol w:w="568"/>
        <w:gridCol w:w="568"/>
        <w:gridCol w:w="818"/>
      </w:tblGrid>
      <w:tr>
        <w:trPr/>
        <w:tc>
          <w:tcPr>
            <w:tcW w:w="885"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r>
      <w:tr>
        <w:trPr/>
        <w:tc>
          <w:tcPr>
            <w:tcW w:w="2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Public Warrants</w:t>
            </w:r>
          </w:p>
        </w:tc>
        <w:tc>
          <w:tcPr>
            <w:tcW w:w="19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Private Warrants</w:t>
            </w:r>
          </w:p>
        </w:tc>
        <w:tc>
          <w:tcPr>
            <w:tcW w:w="1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2024 WTI Warrants</w:t>
            </w:r>
          </w:p>
        </w:tc>
        <w:tc>
          <w:tcPr>
            <w:tcW w:w="19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2025 WTI Warrants</w:t>
            </w:r>
          </w:p>
        </w:tc>
      </w:tr>
      <w:tr>
        <w:trPr/>
        <w:tc>
          <w:tcPr>
            <w:tcW w:w="2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Outstanding, October 2, 2024 (Successor)</w:t>
            </w:r>
          </w:p>
        </w:tc>
        <w:tc>
          <w:tcPr>
            <w:tcW w:w="13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11,499,997</w:t>
            </w:r>
            <w:r>
              <w:rPr>
                <w:color w:val="000000"/>
              </w:rPr>
              <w:t> </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7,146,000</w:t>
            </w:r>
            <w:r>
              <w:rPr>
                <w:color w:val="000000"/>
              </w:rPr>
              <w:t> </w:t>
            </w:r>
          </w:p>
        </w:tc>
        <w:tc>
          <w:tcPr>
            <w:tcW w:w="5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(259,309)</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Issued</w:t>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6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Outstanding, December 31, 2024</w:t>
            </w:r>
          </w:p>
        </w:tc>
        <w:tc>
          <w:tcPr>
            <w:tcW w:w="13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11,240,688</w:t>
            </w:r>
            <w:r>
              <w:rPr>
                <w:color w:val="000000"/>
              </w:rPr>
              <w:t> </w:t>
            </w:r>
          </w:p>
        </w:tc>
        <w:tc>
          <w:tcPr>
            <w:tcW w:w="5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7,146,000</w:t>
            </w:r>
            <w:r>
              <w:rPr>
                <w:color w:val="000000"/>
              </w:rPr>
              <w:t> </w:t>
            </w:r>
          </w:p>
        </w:tc>
        <w:tc>
          <w:tcPr>
            <w:tcW w:w="5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6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Exercised </w:t>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Issued</w:t>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Outstanding, December 31, 2025</w:t>
            </w:r>
          </w:p>
        </w:tc>
        <w:tc>
          <w:tcPr>
            <w:tcW w:w="137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11,240,688</w:t>
            </w:r>
            <w:r>
              <w:rPr>
                <w:color w:val="000000"/>
              </w:rPr>
              <w:t> </w:t>
            </w:r>
          </w:p>
        </w:tc>
        <w:tc>
          <w:tcPr>
            <w:tcW w:w="57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7,146,000</w:t>
            </w:r>
            <w:r>
              <w:rPr>
                <w:color w:val="000000"/>
              </w:rPr>
              <w:t> </w:t>
            </w:r>
          </w:p>
        </w:tc>
        <w:tc>
          <w:tcPr>
            <w:tcW w:w="59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63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81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Public and Private Placement Warrants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Upon the consummation of the Business Combination, 11,499,997 Learn CW public warrants and 7,146,000 private placement warrants outstanding immediately prior to Closing was assumed by the Company and each converted into a Company warrant ("Warrant"). All references to “Class A ordinary shares” of Learn CW in Learn CW’s prior agreement were amended to shares of Common Stock of the Company. The Warrants will become exercisable on November 1, 2024 and will expire on October 2, 2029 or earlier upon redemption or liquidation. The Warrants are exercisable for $11.50 per share.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private placement warrants are identical to the public warrants, except that the private placement warrants and the Common Stock issuable upon the exercise of the private placement warrants will not be transferable, assignable or salable until 30 days after the completion of the Business Combination, subject to certain limited exceptions. Additionally, the private placement warrants will be exercisable on a cashless basis and will be non-redeemable so long as they are held by the initial purchasers or their permitted transferees. If the private placement warrants are held by someone other than the initial purchasers or their permitted transferees, the private placement warrants will be redeemable by Learn CW and exercisable by such holders on the same basis as the public warrants.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Public Warrants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determined the public warrants are equity-classified and are presented as permanent equity on the consolidated balance sheets. As such, the public warrants are measured at fair value at Closing using the warrant price at Closing multiplied by the number of public warrants and will not be subsequently re-measured. As of the Closing date the fair value of the equity classified public warrants was $1.3 million and is presented in the consolidated balance sheets. See Note 4. Fair Value for details on valuation. The public warrants expire on October 2, 2029. For the successor period October 2, 2024 through December 31, 2024, 259,309 public warrants were exercised. Each public warrant that was exercised was converted into one share of Common Stock for an exercise price of $11.50, amounting to a total of $3.0 million in cash proceeds. </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Private Placement Warrants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private placement warrants are liability classified and are not eligible for an exception from derivative accounting. The private placement warrants are presented as a current liability on the consolidated balance sheets given their exercisable term, which is 30 days from Closing. The private placement warrants are measured at fair value based on the price of the public warrants (Level 2 fair value measurement).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v:textbox>
                <w10:wrap type="none"/>
              </v:rect>
            </w:pict>
          </mc:Fallback>
        </mc:AlternateContent>
      </w:r>
    </w:p>
    <w:p>
      <w:pPr>
        <w:pStyle w:val="TextBody"/>
        <w:bidi w:val="0"/>
        <w:spacing w:lineRule="auto" w:line="288" w:before="0" w:after="120"/>
        <w:jc w:val="left"/>
        <w:rPr/>
      </w:pPr>
      <w:hyperlink w:anchor="i507f7219d73d42a58f688d408612ee4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0"/>
        <w:jc w:val="center"/>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private placement warrants will expire on October 2, 2029 or earlier upon redemption or liquidation and are exercisable for $11.50 per share. As of December 31, 2025 and December 31, 2024, the fair value of the private placement warrants is $11.1 million and $16.8 million, respectively, and is presented as a current liability in the consolidated balance sheets. For the years ended December 31, 2025 and for the successor period October 2, 2024 through December 31, 2024, the Company recognized losses of $5.6 million and $16.0 million, respectively, in Change in fair value of financial liabilities on the consolidated statements of operations and comprehensive income (loss).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WTI Warrants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October 22, 2024, in connection with the WTI Facility, the Company issued warrants (the "2024 WTI Warrants") to the WTI Lenders. The 2024 WTI Warrants are considered freestanding financial instruments and are recorded at fair value on the consolidated balance sheets as a warrant liability in the amount of $13.1 million and $17.2 million as of December 31, 2025 and 2024, respectively. For the years ended December 31, 2025 and for the Successor period October 2, 2024 through December 31, 2024, the Company recognized losses of $4.2 million and $1.5 million, respectively, in change in fair value of financial liabilities on the consolidated statements of operations and comprehensive income (loss). The 2024 WTI Warrants expire on March 31, 2035. See Note 4. Fair Value for details on the valuation.</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If the WTI Lenders choose to exercise the 2024 WTI Warrants for Common Stock, the exercise price is $10.00 per share; however, if the volume-weighted average price (VWAP) of the Company's Common Stock is less than $10.00 per share as of the date which is eighteen months after the Company's Common Stock began trading, then the exercise price shall be reduced to such lower VWAP.</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If the WTI Lenders choose to exercise the 2024 WTI Warrants for Subsequent Round Stock, the exercise price shall be the lowest price per share paid by any person for the Company's equity securities issued in a corresponding subsequent round.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2024 WTI Warrants are exercisable at the option of the holders until March 31, 2035, and may be exchanged for a cash amount of $15.0 million (subject to ratable reduction for partial exercises) upon the occurrence of certain liquidity events or at any time from and after October 22, 2028. The holders also have the right to participate in future equity or convertible debt offerings up to an aggregate amount of $5.0 million or to maintain their pro rata ownership, subject to customary exclusions.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2024 WTI Warrants are considered freestanding financial instruments and are recorded at fair value on the consolidated balance sheets as a warrant liability. The fair value of the 2024 WTI Warrants upon issuance was $15.7 million. </w:t>
      </w:r>
    </w:p>
    <w:p>
      <w:pPr>
        <w:pStyle w:val="TextBody"/>
        <w:bidi w:val="0"/>
        <w:spacing w:lineRule="auto" w:line="283" w:before="0" w:after="0"/>
        <w:jc w:val="both"/>
        <w:rPr>
          <w:rFonts w:ascii="Times New Roman;serif" w:hAnsi="Times New Roman;serif"/>
          <w:b w:val="false"/>
          <w:color w:val="000000"/>
          <w:sz w:val="20"/>
        </w:rPr>
      </w:pPr>
      <w:r>
        <w:rPr>
          <w:rFonts w:ascii="Times New Roman;serif" w:hAnsi="Times New Roman;serif"/>
          <w:b w:val="false"/>
          <w:color w:val="000000"/>
          <w:sz w:val="20"/>
        </w:rPr>
        <w:t>On April 14, 2025, the Company issued the 2025 WTI Warrants to purchase, at a price of $0.01 per share (subject to certain limitations and adjustment), up to an aggregate total of 495,074 shares of Common Stock, as of the date of issuance and June 30, 2025 (subject to future adjustments to the number and type of shares pursuant to the 2025 WTI Warrants), to the WTI Holders. Each of the 2025 WTI Warrants is exercisable through March 31, 2035, with additional customary rights and protections. The 2025 WTI Warrants were issued to the WTI Holders in conjunction with the first issuance of the Convertible Debentures. The 2025 WTI Warrants serve as consideration for certain provisions under the Consent. The Company recognized the related warrant liability at fair value at an amount of $3.1 million at the time of issuance. The 2025 WTI Warrants are recorded at fair value on the consolidated balance sheets in the amount of $3.2 million as of December 31, 2025. For the year ended December 31, 2025, the Company recognized a loss of $0.1 million, in the change in fair value of financial liabilities on the consolidated statements of operations and comprehensive income (loss). The 2025 WTI Warrants expire on March 31, 2035. See Note 4. Fair Value for details on the valuation.</w:t>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v:textbox>
                <w10:wrap type="none"/>
              </v:rect>
            </w:pict>
          </mc:Fallback>
        </mc:AlternateContent>
      </w:r>
    </w:p>
    <w:p>
      <w:pPr>
        <w:pStyle w:val="TextBody"/>
        <w:bidi w:val="0"/>
        <w:spacing w:lineRule="auto" w:line="288" w:before="0" w:after="120"/>
        <w:jc w:val="left"/>
        <w:rPr/>
      </w:pPr>
      <w:hyperlink w:anchor="i507f7219d73d42a58f688d408612ee4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0"/>
        <w:jc w:val="center"/>
        <w:rPr/>
      </w:pPr>
      <w:r>
        <w:rPr/>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Note 12. Mezzanine Capital</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Predecessor period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redemption of Class PCTA Units or Class I Units is not solely in control of the Company and, as such, both classes of units are considered redeemable at the option of the holder. The Class PCTA Units were probable of becoming redeemable and the Class I Units are currently redeemable. </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Valuation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Class PCTA Units were valued on a monthly basis to align with the underlying value of the PCT stock. Changes in the redemption value (e.g., fair value) were recognized immediately as they occurred and the carrying value of the instrument was adjusted to equal the redemption value at the end of each reporting period. Class I Units were valued on a quarterly basis based on the underlying fair value of the ESG Fund.</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Voting</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Class PCTA Units carry the right to hold, vote and dispose of the Company’s investment in the related shares of PCT common stock. All Class PCTA Units are held by Innventure1 LLC (“Innventure1”). Class I Units carry the right to hold, vote and dispose of the Company’s partnership interest in the ESG Fund with respect to its General Partner (“GP”) affiliated commitment. Class I Units are held by WE-INN LLC. The holders of units of any other class are not permitted to vote on matters specific to the Class PCTA or Class I Units.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Liquidation Preference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Distributions to Class PCTA and Class I Unit holders are based on their ownership percentage of the respective class.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Redemption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will distribute the Class I investments held by Innventus ESG Fund I, L.P., to the investor in-kind at the election of WE-INN LLC. There is no maximum amount that the Company could be required to pay if the instrument is redeemed.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v:textbox>
                <w10:wrap type="none"/>
              </v:rect>
            </w:pict>
          </mc:Fallback>
        </mc:AlternateContent>
      </w:r>
    </w:p>
    <w:p>
      <w:pPr>
        <w:pStyle w:val="TextBody"/>
        <w:bidi w:val="0"/>
        <w:spacing w:lineRule="auto" w:line="288" w:before="0" w:after="120"/>
        <w:jc w:val="left"/>
        <w:rPr/>
      </w:pPr>
      <w:hyperlink w:anchor="i507f7219d73d42a58f688d408612ee4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0"/>
        <w:jc w:val="center"/>
        <w:rPr/>
      </w:pPr>
      <w:r>
        <w:rPr/>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Note 13. Stockholders' Equity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For periods prior to the Closing, the Predecessor had Class B Preferred Units, Class B-1 Preferred Units, Class A Units and Class C Units issued and outstanding. In connection with the Business Combination on October 2, 2024, as described in Note 8. Business Combinations, the Successor acquired all membership interests that were in existence for the Predecessor.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Series B Preferred Stock</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authorized to issue 25,000,000 shares of preferred stock with a par value of $0.0001 per share. Of which, 3,000,000 of the shares of preferred stock are designated as Series B Preferred Stock. Immediately following the Business Combination, Innventure issued 1,102,000 of Series B Preferred Stock at a purchase price of $10.00 per share (the “Original Issue Price”) for a total amount of $11.0 million.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Series B Preferred Stock are subject to: (i) a mandatory conversion on the date that is five years after original issuance (the “Maturity Date”); and (ii) an optional conversion, at the election of the holder, at any time prior to the Maturity Date upon the effectiveness of a registration statement by the Company registering the underlying shares of Common Stock issuable upon conversion. The number of shares of Common Stock that each holder of Series B Preferred Stock will receive upon conversion will be the number of Series B Preferred shares multiplied by the Conversion Rate, subject to a threshold amount. The conversion rate (“Conversion Rate”) will equal a fraction whose numerator is $10.00 and whose denominator is the lesser of: (i) $12.50 and (ii) the Reset Conversion Price, where the “Reset Conversion Price” means the greater of: (a) $5.00 and (b) the 10-trading day volume-weighted average closing price of the Common Stock. Any fractional shares resulting from conversion will be rounded up to the next whole share.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Holders of Series B Preferred Stock are entitled to cast the number of votes equal to: (i) $10.00, divided by (ii) the Minimum Price (which shall have the meaning assigned in Nasdaq Listing Rule 5635(d)) of Common Stock as of the initial issue date of the Series B Preferred Stock. Holders of Series B Preferred Stock will vote with the holders of Common Stock as a single class and on an as-converted basis, except as provided by law or applicable to Nasdaq Listing Rules. The voting power of Series B Preferred Stock holders cannot exceed 19.99% of the total outstanding voting power.</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Series B Preferred Stock will rank senior to the Common Stock, which is junior stock when compared to Series B Preferred Stock. Dividends for Series B Preferred Stock will accrue annually at the rate of 8.0% of the Original Issue Price of $10.00 per share. All dividends are prior to and in preference over any dividend on any junior stock or parity stock and shall be declared and fully paid before any dividends are declared and paid, or any other distributions are made, on any junior stock or parity stock. When dividends are declared by the Company’s board of directors, dividends will be due and payable annually in arrears as payment in kind on the last day of the last quarter in each fiscal year. Holders of Series B Preferred Stock are also eligible to receive dividends and distributions declared on Common Stock, as though their shares were converted into Common Stock, based on the Conversion Rate, using assets legally available for distribution by the Company. The preferred dividends that became due on December 31, 2024, were recorded within Obligation to issue equity on the consolidated balance sheets. As of December 31, 2024, the cumulative dividends on Series B Preferred Stock were $0.2 million.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March 19, 2025, the Company distributed 21,808 shares of Series B Preferred Stock to represent $0.2 million in cumulative dividends for Series B Preferred Stock, covering the period from the initial issue date, as defined in the certificate of designation of Series B Preferred Stock, to December 31, 2024, as a payment in kind at the specified rate. During the year ended December 31, 2025, certain holders of Series B Preferred Stock exercised their conversion right and converted 1,085,664 shares of Series B Preferred Stock for 2,164,673 shares of Common Stock. Upon conversion, all the converted Series B Preferred Stock shares were canceled and retired.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a result, the Company had a total of 33,144 shares of Series B Preferred Stock issued and outstanding as of December 31, 2025. As of December 31, 2025, the Company accrued an immaterial amount for the 8% dividend in the Obligation to issue equity on the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v:textbox>
                <w10:wrap type="none"/>
              </v:rect>
            </w:pict>
          </mc:Fallback>
        </mc:AlternateContent>
      </w:r>
    </w:p>
    <w:p>
      <w:pPr>
        <w:pStyle w:val="TextBody"/>
        <w:bidi w:val="0"/>
        <w:spacing w:lineRule="auto" w:line="288" w:before="0" w:after="120"/>
        <w:jc w:val="left"/>
        <w:rPr/>
      </w:pPr>
      <w:hyperlink w:anchor="i507f7219d73d42a58f688d408612ee4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0"/>
        <w:jc w:val="center"/>
        <w:rPr/>
      </w:pPr>
      <w:r>
        <w:rPr/>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Series C Preferred Stock</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of December 31, 2025, 5,000,000 shares of the authorized preferred stock are designated as Series C Preferred Stock, $0.0001 par value per share (the “Series C Preferred Stock”). On March 24, 2025, Innventure issued 2,885,848 shares of Series C Preferred Stock at the original issue price for a total amount of $28.8 million. The consideration received by the Company was in the form of cash, services rendered and the cancellation of related party debt. During the year ended December 31, 2025, certain holders of Series C Preferred Stock exercised their conversion right and converted 2,735,848 shares of Series C Preferred Stock for 5,471,696 shares of Common Stock. Upon conversion, all the converted Series C Preferred Stock shares were canceled and retired.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Series C Preferred Stock is subject to similar terms and conditions as the Series B Preferred Stock. The Company had a total of 150,000 shares of Series C Preferred Stock issued and outstanding as of December 31, 2025. As of December 31, 2025, the Company accrued $0.1 million for the 8% dividend in the Obligation to issue equity on the consolidated balance sheets.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Standby Equity Purchase Agreement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October 2023, we entered into the SEPA with YA II PN, LTD., an exempt limited partnership from the Cayman Islands (“Yorkville”). Concurrently with the Business Combination, this agreement became effective.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Pursuant to the SEPA, the Company shall have the right, but not the obligation, to sell to Yorkville up to $75.0 million of Common Stock, par value $0.0001 per share, at the Company’s request any time during the commitment period commencing on the Closing and continuing for a term of 3 years (“Purchased Put Option”). As consideration, Innventure agreed and paid, to YA Global II SPV, LLC, a subsidiary of Yorkville, (i) a structuring fee and (ii) a commitment fee both totaling $0.4 million. The commitment fee was expensed in full immediately following the consummation of the Business Combination, according to ASC 815, and recorded within the General and administrative expense line item in the consolidated statements of operations and comprehensive income (loss) for the successor period October 2, 2024 through December 31, 2024.</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Each advance that Innventure issues in writing to Yorkville under the SEPA (each, an “Advance,” and notice of such request, and “Advance Notice”) may be in an amount of Common Stock up to the greater of: (i) $10.0 million or (ii) the aggregate daily trading volume of Common Stock for the five trading days prior to Innventure requesting an Advance. The purchase price for the shares of Common Stock set forth in the Advance is determined by multiplying the market price of Common Stock by either (a) 95% of the daily volume weighted average price (“VWAP”) during the applicable one-day pricing period or (b) 97% of the lowest daily VWAP during the applicable three consecutive trading day pricing period. The applicable pricing period depends on the type of Advance Notice selected by the Company under the SEPA. Additionally, the Company may establish a minimum acceptable price in each Advance Notice below which the Company will not be obligated to make any sales to Yorkville. Once the Company draws on the SEPA, the related number of shares issuable constitutes a forward contract to issue common stock (“Forward Contract”).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SEPA will automatically terminate on the earlier to occur of (i) November 01, 2027 and (ii) the date on which Yorkville shall have made payment of advances pursuant to the SEPA for Common Stock equal to the commitment amount of $75.0 million.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For the year ended December 31, 2025 and the successor period October 2, 2024 through December 31, 2024, the Company sold 1,071,566 and 135,000 shares of Common Stock under the SEPA, raising $6.1 million and $1.7 million, respectively, which is classified within Issuance of common shares, net of issuance costs in the consolidated statements of changes in stockholders' equity (deficit).</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At Risk Sponsor Shares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connection with the Business Combination Agreement, the Company entered into the Sponsor Support Agreement under which 5,000,000 shares were issued to the Sponsor at the Closing, as follows: 2,775,172 Fixed Shares, 344,828 Sponsor Earnout Shares, and 1,880,000 At Risk Sponsor Shares.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Fixed Shares issued to the sponsor are not subject to any contingencies or forfeiture provisions. The Sponsor Earnout Shares are issued until they are deemed forfeited due to non-achievement of the associated Milestones. See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v:textbox>
                <w10:wrap type="none"/>
              </v:rect>
            </w:pict>
          </mc:Fallback>
        </mc:AlternateContent>
      </w:r>
    </w:p>
    <w:p>
      <w:pPr>
        <w:pStyle w:val="TextBody"/>
        <w:bidi w:val="0"/>
        <w:spacing w:lineRule="auto" w:line="288" w:before="0" w:after="120"/>
        <w:jc w:val="left"/>
        <w:rPr/>
      </w:pPr>
      <w:hyperlink w:anchor="i507f7219d73d42a58f688d408612ee4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0"/>
        <w:jc w:val="center"/>
        <w:rPr/>
      </w:pPr>
      <w:r>
        <w:rPr/>
      </w:r>
    </w:p>
    <w:p>
      <w:pPr>
        <w:pStyle w:val="TextBody"/>
        <w:bidi w:val="0"/>
        <w:spacing w:lineRule="auto" w:line="288" w:before="120" w:after="120"/>
        <w:jc w:val="both"/>
        <w:rPr/>
      </w:pPr>
      <w:r>
        <w:rPr>
          <w:rFonts w:ascii="Times New Roman;serif" w:hAnsi="Times New Roman;serif"/>
          <w:b w:val="false"/>
          <w:color w:val="000000"/>
          <w:sz w:val="20"/>
        </w:rPr>
        <w:t>Note 10. Earnout Shares</w:t>
      </w:r>
      <w:r>
        <w:rPr>
          <w:color w:val="000000"/>
        </w:rPr>
        <w:t xml:space="preserve"> </w:t>
      </w:r>
      <w:r>
        <w:rPr>
          <w:rFonts w:ascii="Times New Roman;serif" w:hAnsi="Times New Roman;serif"/>
          <w:b w:val="false"/>
          <w:color w:val="000000"/>
          <w:sz w:val="20"/>
        </w:rPr>
        <w:t>for more discussion on the Sponsor Earnout Shares. The At Risk Sponsor Shares are issued, but a portion of such shares are subject to forfeiture in case the Company is not able to secure additional financing based on the calculation within the Sponsor Support Agreement. As per the discussion of additional financing per the Sponsor Support Agreement, the number of shares subject to forfeiture were calculated to be 587,995. The rest of the At-Risk Sponsor Shares, 1,292,005, were free from any forfeiture conditions or contingencies.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When the Company received the First Tranche of the WTI Facility on November 15, 2024, the additional financing condition was met and all the remaining At-Risk Sponsor Shares were considered non-forfeitable and free from any contingencies. See Note 5. Borrowings for more discussion over the First Tranche of the WTI Facility.</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Similar to the Sponsor Earnout Shares, all the At-Risk Sponsor Shares were entitled to non-forfeitable dividends or distributions along with other common stockholders of the Company, from their issuance date.</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Service Provider Shares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December 2023, the Company entered into an agreement to receive financial advisory services in exchange for equity. Upon Closing of the Business Combination, the Company became liable for $0.4 million of Common Stock divided by the conversion price of $10.87, resulting in 40,552 shares. In connection with the closing of the WTI Facility mentioned in Note 5. Borrowings, the Company became liable for $0.5 million worth of Common Stock calculated as the volume-weighted average price of the Common Stock over the five consecutive trading days ending on the trading day immediately preceding November 15, 2024, $11.13, for a total of 44,919 shares. On February 3, 2025, the Company has issued the aggregate 85,471 shares of Common Stock for services rendered.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October 2023, the Company entered into an agreement to receive financial advisory services in exchange for equity. Upon Closing of the Business Combination, the Company is obligated to pay a success fee in cash in an amount of $0.6 million and equity success fee in $3.0 million of Series C Preferred Stock, par value $0.0001 per share, of the Company (the “Series C Preferred Stock”) at $10.00 per share. On March 24, 2025, the Company issued the 300,000 shares of Series C Preferred Stock for services rendered.</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Series B Units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2, 2025, Accelsius issued and sold 685,163 Accelsius Series B-1 Units (the “Series B-1 Units”) to Johnson Controls, Inc. (“JCI”) for approximately $25.0 million, before deducting financial advisor fees and other estimated offering expenses. JCI is entitled to appoint and remove a director to the board of directors of Accelsius if JCI and its affiliates maintain a significant ownership percentage. As a result of the sale of Series B-1 Units to JCI, the August 2025 Notes converted into 251,452 Series B-2 units and 125,725 B-2 Warrants were issued. </w:t>
      </w:r>
    </w:p>
    <w:p>
      <w:pPr>
        <w:pStyle w:val="TextBody"/>
        <w:bidi w:val="0"/>
        <w:spacing w:lineRule="auto" w:line="288" w:before="120" w:after="120"/>
        <w:jc w:val="both"/>
        <w:rPr/>
      </w:pPr>
      <w:r>
        <w:rPr>
          <w:rFonts w:ascii="Times New Roman;serif" w:hAnsi="Times New Roman;serif"/>
          <w:b w:val="false"/>
          <w:color w:val="000000"/>
          <w:sz w:val="20"/>
        </w:rPr>
        <w:t>On December 29, 2025, Accelsius issued and sold 822,195 Series B-1 Units to Legrand DPC, LLC, (“</w:t>
      </w:r>
      <w:r>
        <w:rPr>
          <w:rFonts w:ascii="Times New Roman;serif" w:hAnsi="Times New Roman;serif"/>
          <w:b w:val="false"/>
          <w:i/>
          <w:color w:val="000000"/>
          <w:sz w:val="20"/>
        </w:rPr>
        <w:t>Legrand</w:t>
      </w:r>
      <w:r>
        <w:rPr>
          <w:color w:val="000000"/>
        </w:rPr>
        <w:t>”</w:t>
      </w:r>
      <w:r>
        <w:rPr>
          <w:rFonts w:ascii="Times New Roman;serif" w:hAnsi="Times New Roman;serif"/>
          <w:b w:val="false"/>
          <w:color w:val="000000"/>
          <w:sz w:val="20"/>
        </w:rPr>
        <w:t xml:space="preserve">), for approximately $30.0 million, before deducting financial advisor fees and other estimated offering expenses.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v:textbox>
                <w10:wrap type="none"/>
              </v:rect>
            </w:pict>
          </mc:Fallback>
        </mc:AlternateContent>
      </w:r>
    </w:p>
    <w:p>
      <w:pPr>
        <w:pStyle w:val="TextBody"/>
        <w:bidi w:val="0"/>
        <w:spacing w:lineRule="auto" w:line="288" w:before="0" w:after="120"/>
        <w:jc w:val="left"/>
        <w:rPr/>
      </w:pPr>
      <w:hyperlink w:anchor="i507f7219d73d42a58f688d408612ee4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0"/>
        <w:jc w:val="center"/>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Accelsius issued and sold to JCI an additional 274,065 units of the Series B-1 Units for gross proceeds of approximately $10 million. </w:t>
      </w:r>
    </w:p>
    <w:p>
      <w:pPr>
        <w:pStyle w:val="TextBody"/>
        <w:bidi w:val="0"/>
        <w:spacing w:lineRule="auto" w:line="288" w:before="120" w:after="120"/>
        <w:jc w:val="both"/>
        <w:rPr/>
      </w:pPr>
      <w:r>
        <w:rPr>
          <w:rFonts w:ascii="Times New Roman;serif" w:hAnsi="Times New Roman;serif"/>
          <w:b w:val="false"/>
          <w:color w:val="000000"/>
          <w:sz w:val="20"/>
        </w:rPr>
        <w:t>The Series B-1 Units are convertible at any time and from time to time into Accelsius’ Class A Common Units by dividing the Series B-1 Unit’s Issue Price (as defined below) by the Conversion Price (as defined below) in effect at the time of conversion. The Issue Price means $36.49 per unit, subject to appropriate adjustment in the event of any unit dividend, unit split, combination or other similar recapitalization with respect to the applicable Series B-1 Units. The “</w:t>
      </w:r>
      <w:r>
        <w:rPr>
          <w:rFonts w:ascii="Times New Roman;serif" w:hAnsi="Times New Roman;serif"/>
          <w:b w:val="false"/>
          <w:i/>
          <w:color w:val="000000"/>
          <w:sz w:val="20"/>
        </w:rPr>
        <w:t>Conversion Price</w:t>
      </w:r>
      <w:r>
        <w:rPr>
          <w:color w:val="000000"/>
        </w:rPr>
        <w:t xml:space="preserve">” </w:t>
      </w:r>
      <w:r>
        <w:rPr>
          <w:rFonts w:ascii="Times New Roman;serif" w:hAnsi="Times New Roman;serif"/>
          <w:b w:val="false"/>
          <w:color w:val="000000"/>
          <w:sz w:val="20"/>
        </w:rPr>
        <w:t>shall initially equal $36.49 and will be subject to certain adjustments.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Private Placement Issuances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October 3, 2025, the Company raised approximately $9.8 million through a private placement, issuing 1,625,235 shares of Common Stock at $6.00 per share and Series A warrants to purchase 1,625,235 shares of Common Stock (the “Series A Warrants”). The Series A Warrants, exercisable from April 6, 2026 at $8.00 per share, are redeemable under certain conditions until October 3, 2030.</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January 12, 2026, the Company entered into securities purchase agreements with four institutional investors for the purchase and sale of 11,428,572 shares of common stock for gross proceeds of approximately $40.0 million, before deducting placement agent fees and offering expenses.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v:textbox>
                <w10:wrap type="none"/>
              </v:rect>
            </w:pict>
          </mc:Fallback>
        </mc:AlternateContent>
      </w:r>
    </w:p>
    <w:p>
      <w:pPr>
        <w:pStyle w:val="TextBody"/>
        <w:bidi w:val="0"/>
        <w:spacing w:lineRule="auto" w:line="288" w:before="0" w:after="120"/>
        <w:jc w:val="left"/>
        <w:rPr/>
      </w:pPr>
      <w:hyperlink w:anchor="i507f7219d73d42a58f688d408612ee4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0"/>
        <w:jc w:val="center"/>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14. Stock-based Compensation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Capital Incentive Plan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Predecessor’s capital incentive plan (the “Capital Incentive Plan”), as amended, permitted the grant of 1,585,125 shares of Class C Units to its employees, directors, and consultants, as designated by the Board of Directors. Upon Closing of the Business Combination, the vesting of all Innventure LLC unvested Class C Capital Incentive Plan units was accelerated, resulting in 203,651 units vested and additional compensation expense of $223. The Class C Capital Incentive Plan units were then immediately exchanged as part of the Business Combination for Common Stock.</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recognized compensation costs related to the Capital Incentive Plan as follows: </w:t>
      </w:r>
    </w:p>
    <w:tbl>
      <w:tblPr>
        <w:tblW w:w="10205" w:type="dxa"/>
        <w:jc w:val="left"/>
        <w:tblInd w:w="0" w:type="dxa"/>
        <w:tblLayout w:type="fixed"/>
        <w:tblCellMar>
          <w:top w:w="28" w:type="dxa"/>
          <w:left w:w="28" w:type="dxa"/>
          <w:bottom w:w="28" w:type="dxa"/>
          <w:right w:w="28" w:type="dxa"/>
        </w:tblCellMar>
      </w:tblPr>
      <w:tblGrid>
        <w:gridCol w:w="604"/>
        <w:gridCol w:w="531"/>
        <w:gridCol w:w="533"/>
        <w:gridCol w:w="548"/>
        <w:gridCol w:w="1058"/>
        <w:gridCol w:w="289"/>
        <w:gridCol w:w="109"/>
        <w:gridCol w:w="109"/>
        <w:gridCol w:w="109"/>
        <w:gridCol w:w="868"/>
        <w:gridCol w:w="1675"/>
        <w:gridCol w:w="459"/>
        <w:gridCol w:w="109"/>
        <w:gridCol w:w="109"/>
        <w:gridCol w:w="109"/>
        <w:gridCol w:w="756"/>
        <w:gridCol w:w="1670"/>
        <w:gridCol w:w="560"/>
      </w:tblGrid>
      <w:tr>
        <w:trPr/>
        <w:tc>
          <w:tcPr>
            <w:tcW w:w="604"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675"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r>
      <w:tr>
        <w:trPr/>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Predecessor</w:t>
            </w:r>
          </w:p>
        </w:tc>
      </w:tr>
      <w:tr>
        <w:trPr/>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 Ended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Period from October 2, 2024 through 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Period from January 1 2024 through October 1, 2024</w:t>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Compensation expense</w:t>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2024 Equity and Incentive Compensation Plan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October 2, 2024, the Company entered into the 2024 Equity and Incentive Compensation Plan (the “Plan”), wherein the Company is permitted to grant awards to employees, directors, consultants, and former service providers of the Company. The Plan provides for the granting of awards (“Awards”) including, restricted stock units (“RSUs”), stock options, and stock appreciation rights (“SARs”). The number of shares of Common Stock available under the Plan is initially limited to 11,022,894. The share limit will automatically increase by 3% on the first day of each fiscal year, beginning in 2025, unless a smaller number of shares is determined by the Board of Directors. The Awards vest over the service periods defined in each individual grant agreement. All RSUs will vest at various dates through August 2028. The fair value of the Awards issued to employees is recognized as compensation expense on a straight-line basis over the requisite service period. As of December 31, 2025, 4,629,340 shares remain available under the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v:textbox>
                <w10:wrap type="none"/>
              </v:rect>
            </w:pict>
          </mc:Fallback>
        </mc:AlternateContent>
      </w:r>
    </w:p>
    <w:p>
      <w:pPr>
        <w:pStyle w:val="TextBody"/>
        <w:bidi w:val="0"/>
        <w:spacing w:lineRule="auto" w:line="288" w:before="0" w:after="120"/>
        <w:jc w:val="left"/>
        <w:rPr/>
      </w:pPr>
      <w:hyperlink w:anchor="i507f7219d73d42a58f688d408612ee4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0"/>
        <w:jc w:val="center"/>
        <w:rPr/>
      </w:pPr>
      <w:r>
        <w:rPr/>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Restricted Stock Units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Each RSU represents the right to receive one share of Common Stock upon vesting of such RSU. The fair value of RSUs is determined based on the closing market price of the Company’s Common Stock at the date of the grant. If a cash dividend is declared on the Company’s Common Stock before the RSUs have vested, holders of RSUs are entitled to received dividends in the form of a cash credit, and shall be paid in cash at the same time as the RSUs are settled.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summary of RSU activity is as follows:</w:t>
      </w:r>
    </w:p>
    <w:p>
      <w:pPr>
        <w:pStyle w:val="TextBody"/>
        <w:bidi w:val="0"/>
        <w:spacing w:before="0" w:after="0"/>
        <w:jc w:val="left"/>
        <w:rPr/>
      </w:pPr>
      <w:r>
        <w:rPr/>
      </w:r>
    </w:p>
    <w:tbl>
      <w:tblPr>
        <w:tblW w:w="9281" w:type="dxa"/>
        <w:jc w:val="left"/>
        <w:tblInd w:w="0" w:type="dxa"/>
        <w:tblLayout w:type="fixed"/>
        <w:tblCellMar>
          <w:top w:w="28" w:type="dxa"/>
          <w:left w:w="28" w:type="dxa"/>
          <w:bottom w:w="28" w:type="dxa"/>
          <w:right w:w="28" w:type="dxa"/>
        </w:tblCellMar>
      </w:tblPr>
      <w:tblGrid>
        <w:gridCol w:w="979"/>
        <w:gridCol w:w="859"/>
        <w:gridCol w:w="862"/>
        <w:gridCol w:w="539"/>
        <w:gridCol w:w="539"/>
        <w:gridCol w:w="541"/>
        <w:gridCol w:w="109"/>
        <w:gridCol w:w="109"/>
        <w:gridCol w:w="109"/>
        <w:gridCol w:w="997"/>
        <w:gridCol w:w="2911"/>
        <w:gridCol w:w="727"/>
      </w:tblGrid>
      <w:tr>
        <w:trPr/>
        <w:tc>
          <w:tcPr>
            <w:tcW w:w="97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Grant Date Fair Value (per share)</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January 1, 2025</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1,905,008 </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9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12.20 </w:t>
            </w:r>
          </w:p>
        </w:tc>
        <w:tc>
          <w:tcPr>
            <w:tcW w:w="7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653,118 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(1,382,725)</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11.61 </w:t>
            </w:r>
          </w:p>
        </w:tc>
        <w:tc>
          <w:tcPr>
            <w:tcW w:w="7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(123,562)</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December 31, 2025</w:t>
            </w:r>
          </w:p>
        </w:tc>
        <w:tc>
          <w:tcPr>
            <w:tcW w:w="107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1,051,839 </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9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8.68 </w:t>
            </w:r>
          </w:p>
        </w:tc>
        <w:tc>
          <w:tcPr>
            <w:tcW w:w="7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and the Successor period from October 2, 2024 through December 31, 2024, the Company recognized compensation costs related to the RSUs of $16.1 million and $1.6 million, respectively, within General and administrative expense in the consolidated statements of operations and comprehensive income (loss). As of December 31, 2025, the Company had $8.9 million in stock-based compensation expense remaining to be recognized over approximately 1.58 years.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Stock Options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February 26, 2025, the Company issued 140,000 stock options to two independent contractors. The stock options were granted with an exercise price of $8.84. Using the Black-Scholes option pricing model, the estimated grant date fair value of stock options was $3.20 per option based on an expected volatility of 56%, an expected option term of approximately 5.9 years, and risk-free rate of return of 4.06%. The stock options have a maximum contractual life of 10 years from the grant date.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9, 2024, stock options were granted with an exercise price of $12.20, which aligns with the Company’s closing share price on December 9, 2024. Using the Black-Scholes option pricing model, the weighted average estimated grant date fair value of stock options was $6.63 per unit based on an expected volatility of 56%, an expected option term of approximately 5.28 - 5.62 years, and risk-free rate of return of 4.0 - 4.1%. The stock options have a maximum contractual life, and a weighted average remaining contractual term, of 10 years from the grant 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v:textbox>
                <w10:wrap type="none"/>
              </v:rect>
            </w:pict>
          </mc:Fallback>
        </mc:AlternateContent>
      </w:r>
    </w:p>
    <w:p>
      <w:pPr>
        <w:pStyle w:val="TextBody"/>
        <w:bidi w:val="0"/>
        <w:spacing w:lineRule="auto" w:line="288" w:before="0" w:after="120"/>
        <w:jc w:val="left"/>
        <w:rPr/>
      </w:pPr>
      <w:hyperlink w:anchor="i507f7219d73d42a58f688d408612ee4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Stock options activity for the year ended December 31, 2025 is as follows: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63"/>
        <w:gridCol w:w="757"/>
        <w:gridCol w:w="761"/>
        <w:gridCol w:w="539"/>
        <w:gridCol w:w="461"/>
        <w:gridCol w:w="450"/>
        <w:gridCol w:w="109"/>
        <w:gridCol w:w="109"/>
        <w:gridCol w:w="109"/>
        <w:gridCol w:w="516"/>
        <w:gridCol w:w="1507"/>
        <w:gridCol w:w="266"/>
        <w:gridCol w:w="109"/>
        <w:gridCol w:w="109"/>
        <w:gridCol w:w="109"/>
        <w:gridCol w:w="823"/>
        <w:gridCol w:w="1996"/>
        <w:gridCol w:w="612"/>
      </w:tblGrid>
      <w:tr>
        <w:trPr/>
        <w:tc>
          <w:tcPr>
            <w:tcW w:w="86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2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Grant Date Fair Value (per share)</w:t>
            </w:r>
          </w:p>
        </w:tc>
      </w:tr>
      <w:tr>
        <w:trPr/>
        <w:tc>
          <w:tcPr>
            <w:tcW w:w="23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on December 31, 2024</w:t>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913,849 </w:t>
            </w:r>
          </w:p>
        </w:tc>
        <w:tc>
          <w:tcPr>
            <w:tcW w:w="4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152,295 </w:t>
            </w:r>
          </w:p>
        </w:tc>
        <w:tc>
          <w:tcPr>
            <w:tcW w:w="4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8.84 </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6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(640,799)</w:t>
            </w:r>
          </w:p>
        </w:tc>
        <w:tc>
          <w:tcPr>
            <w:tcW w:w="4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6.57 </w:t>
            </w:r>
          </w:p>
        </w:tc>
        <w:tc>
          <w:tcPr>
            <w:tcW w:w="6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1"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31" w:type="dxa"/>
            <w:gridSpan w:val="3"/>
            <w:tcBorders/>
            <w:vAlign w:val="center"/>
          </w:tcPr>
          <w:p>
            <w:pPr>
              <w:pStyle w:val="TableContents"/>
              <w:bidi w:val="0"/>
              <w:spacing w:before="0" w:after="283"/>
              <w:jc w:val="left"/>
              <w:rPr>
                <w:sz w:val="4"/>
                <w:szCs w:val="4"/>
              </w:rPr>
            </w:pPr>
            <w:r>
              <w:rPr>
                <w:sz w:val="4"/>
                <w:szCs w:val="4"/>
              </w:rPr>
            </w:r>
          </w:p>
        </w:tc>
      </w:tr>
      <w:tr>
        <w:trPr/>
        <w:tc>
          <w:tcPr>
            <w:tcW w:w="2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(85,755)</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339,590 </w:t>
            </w:r>
          </w:p>
        </w:tc>
        <w:tc>
          <w:tcPr>
            <w:tcW w:w="4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6.31 </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Exercisable at December 31, 2025</w:t>
            </w:r>
          </w:p>
        </w:tc>
        <w:tc>
          <w:tcPr>
            <w:tcW w:w="1000" w:type="dxa"/>
            <w:gridSpan w:val="2"/>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702,359 </w:t>
            </w:r>
          </w:p>
        </w:tc>
        <w:tc>
          <w:tcPr>
            <w:tcW w:w="450" w:type="dxa"/>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3" w:type="dxa"/>
            <w:gridSpan w:val="2"/>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12.20 </w:t>
            </w:r>
          </w:p>
        </w:tc>
        <w:tc>
          <w:tcPr>
            <w:tcW w:w="266" w:type="dxa"/>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2"/>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612" w:type="dxa"/>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and for the Successor period from October 2, 2024 through December 31, 2024, the Company recognized compensation costs related to the stock options of $4.1 million and $0.4 million, respectively, within General and administrative expense in the consolidated statements of operations and comprehensive income (loss). As of December 31, 2025, the Company had $2.1 million in compensation expense remaining to be recognized over approximately 1.45 years.</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Stock Appreciation Rights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December 31, 2024 the Company granted 350,000 stock appreciation rights with respect to the equity of Accelsius Holdings LLC. The SARs were awarded to certain Innventure directors, officers, and former service providers of the Company and its affiliates (the “Participants”). The SARs entitle the Participants to shares of Common Stock, or cash, equal to the value of the appreciation in Accelsius’ stock price over the base price of $12.18. Two Participants, who were considered non-employees, were granted 30,000 cash-settled SARs and three Participants were granted 320,000 stock-settled SARs. The cash-settled SARs are considered liability-classified and the stock-settled SARs are considered equity-classified.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Both the cash-settled SARs and stock-settled SARs will be automatically exercised upon the two-year anniversary of the date of grant. The remaining weighted average contractual term is 1 year as of December 31, 2025.</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estimated grant date fair value of the cash-settled SARs and the stock-settled SARs was $1.1 million and $12.4 million, respectively. The SARs were valued using the Black-Scholes option-pricing model based on an expected volatility of 70%, an expected term of approximately two years, and risk-free rate of return of 4%. The SARs are considered fully vested at the date of grant and compensation cost for both SARs was recognized immediately at the date of grant. During the Successor period from October 2, 2024 through December 31, 2024, the Company recorded $13.5 million in compensation expense related to the SARs within General and administrative expense in the consolidated statements of operations and comprehensive income (loss).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These cash-settled SARs are liability classified and are revalued at each reporting period. The SARs were valued as of December 31, 2025 using the Black-Scholes option-pricing model based on an expected volatility of 70%, an expected term of approximately 1.0 year, and risk-free rate of return of 3%. The Company recognized a decrease in compensation expense in the amount of $0.9 million in relation to the change in fair value of the cash-settled SARs for the year ended December 31,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7"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v:textbox>
                <w10:wrap type="none"/>
              </v:rect>
            </w:pict>
          </mc:Fallback>
        </mc:AlternateContent>
      </w:r>
    </w:p>
    <w:p>
      <w:pPr>
        <w:pStyle w:val="TextBody"/>
        <w:bidi w:val="0"/>
        <w:spacing w:lineRule="auto" w:line="288" w:before="0" w:after="120"/>
        <w:jc w:val="left"/>
        <w:rPr/>
      </w:pPr>
      <w:hyperlink w:anchor="i507f7219d73d42a58f688d408612ee4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0"/>
        <w:jc w:val="center"/>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June 25, 2025, the SARs agreements were amended. Under these amendments, any payments by the Company to the participants shall be made in the form of shares of Common Stock and the maximum number of shares of Common Stock that may be issued pursuant to the SAR Agreements shall be 4,000,000. There were no new or forfeited grants as of December 31, 2025. </w:t>
      </w:r>
    </w:p>
    <w:p>
      <w:pPr>
        <w:pStyle w:val="TextBody"/>
        <w:bidi w:val="0"/>
        <w:spacing w:lineRule="auto" w:line="256" w:before="120" w:after="120"/>
        <w:jc w:val="both"/>
        <w:rPr>
          <w:rFonts w:ascii="Times New Roman;serif" w:hAnsi="Times New Roman;serif"/>
          <w:b/>
          <w:i/>
          <w:color w:val="000000"/>
          <w:sz w:val="20"/>
        </w:rPr>
      </w:pPr>
      <w:r>
        <w:rPr>
          <w:rFonts w:ascii="Times New Roman;serif" w:hAnsi="Times New Roman;serif"/>
          <w:b/>
          <w:i/>
          <w:color w:val="000000"/>
          <w:sz w:val="20"/>
        </w:rPr>
        <w:t>Subsidiary Equity Plans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Accelsius Subsidiary Equity Plan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Accelsius, a subsidiary of the Company, adopted an equity incentive plan on March 24, 2022 (the “Accelsius Subsidiary Equity Plan”). In March 2023, the Accelsius Subsidiary Equity Plan was amended to permit the grant of 4,915,000 Class C units of the subsidiary to the subsidiary’s employees, directors, and consultants, as designated by the Board of Directors. The awards vest over the period defined in each individual grant agreement which is generally accelerated upon a change of control event. Accelsius typically has the option to repurchase all vested units upon an employee’s termination of employment or service.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summary of Accelsius Subsidiary Equity Plan activity is as follows:</w:t>
      </w:r>
    </w:p>
    <w:tbl>
      <w:tblPr>
        <w:tblW w:w="10205" w:type="dxa"/>
        <w:jc w:val="left"/>
        <w:tblInd w:w="0" w:type="dxa"/>
        <w:tblLayout w:type="fixed"/>
        <w:tblCellMar>
          <w:top w:w="28" w:type="dxa"/>
          <w:left w:w="28" w:type="dxa"/>
          <w:bottom w:w="28" w:type="dxa"/>
          <w:right w:w="28" w:type="dxa"/>
        </w:tblCellMar>
      </w:tblPr>
      <w:tblGrid>
        <w:gridCol w:w="978"/>
        <w:gridCol w:w="861"/>
        <w:gridCol w:w="863"/>
        <w:gridCol w:w="487"/>
        <w:gridCol w:w="1246"/>
        <w:gridCol w:w="222"/>
        <w:gridCol w:w="109"/>
        <w:gridCol w:w="109"/>
        <w:gridCol w:w="109"/>
        <w:gridCol w:w="549"/>
        <w:gridCol w:w="1607"/>
        <w:gridCol w:w="287"/>
        <w:gridCol w:w="109"/>
        <w:gridCol w:w="109"/>
        <w:gridCol w:w="109"/>
        <w:gridCol w:w="589"/>
        <w:gridCol w:w="1426"/>
        <w:gridCol w:w="436"/>
      </w:tblGrid>
      <w:tr>
        <w:trPr/>
        <w:tc>
          <w:tcPr>
            <w:tcW w:w="978"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2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Successor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Predecessor Period</w:t>
            </w:r>
          </w:p>
        </w:tc>
      </w:tr>
      <w:tr>
        <w:trPr/>
        <w:tc>
          <w:tcPr>
            <w:tcW w:w="2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Period from </w:t>
              <w:br/>
              <w:t>October 2, 2024 through 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Period from </w:t>
              <w:br/>
              <w:t>January 1, 2024 through October 1, 2024</w:t>
            </w:r>
          </w:p>
        </w:tc>
      </w:tr>
      <w:tr>
        <w:trPr/>
        <w:tc>
          <w:tcPr>
            <w:tcW w:w="27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Compensation expense </w:t>
            </w:r>
            <w:r>
              <w:rPr>
                <w:rFonts w:ascii="Times New Roman;serif" w:hAnsi="Times New Roman;serif"/>
                <w:b w:val="false"/>
                <w:i/>
                <w:color w:val="000000"/>
                <w:sz w:val="16"/>
              </w:rPr>
              <w:t>(in thousands)</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7,411 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918 </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C units granted</w:t>
            </w:r>
          </w:p>
        </w:tc>
        <w:tc>
          <w:tcPr>
            <w:tcW w:w="1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1,048,000 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168,500 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110,000 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grant date fair value per share</w:t>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20.37 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46.38 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recognizes compensation costs within General and administrative, Sales and marketing and Research and development expense in the consolidated statements of operations and comprehensive income (loss). As of December 31, 2025, the Company had $20.4 million in unit-based compensation expense remaining to be recognized over approximately 1.92 years.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grant date fair value was estimated using an Option Pricing Model to allocate the total equity value of Accelsius to the Class C Units. The total equity value was estimated using the Discounted Cash Flow method and Management’s projections. The resulting values of Class C Units were then discounted for lack of marketability (20%).</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Series A Issuance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18 2024, Accelsius issued 16,427 equity classified Series A Preferred Units to an employee of the Company which was determined to be stock based payment. The grant date fair value of $0.6 million was recognized as compensation cost during the Successor period from October 2, 2024 through December 31, 2024,(within General and administrative expense in the consolidated statements of operations and comprehensive income (loss)), immediately at the date of grant as there is no requisite service period or vesting period. The fair value of the awards was estimated using a Black-Scholes model with a discount for lack of marketability of 20% applied.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8"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v:textbox>
                <w10:wrap type="none"/>
              </v:rect>
            </w:pict>
          </mc:Fallback>
        </mc:AlternateContent>
      </w:r>
    </w:p>
    <w:p>
      <w:pPr>
        <w:pStyle w:val="TextBody"/>
        <w:bidi w:val="0"/>
        <w:spacing w:lineRule="auto" w:line="288" w:before="0" w:after="120"/>
        <w:jc w:val="left"/>
        <w:rPr/>
      </w:pPr>
      <w:hyperlink w:anchor="i507f7219d73d42a58f688d408612ee4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0"/>
        <w:jc w:val="center"/>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15. Revenues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provides investment management services to the ESG Fund, a related party, through which it earns revenue from management fees. Management fee revenue is affected by economic factors related to the asset class composition of the holdings and the contractual terms such as the basis for calculating the management fees and investors’ ability to redeem. The Company did not recognize any carried interest allocation during the year ended December 31, 2025, the Successor period from October 2, 2024 through December 31, 2024, and the Predecessor period from January 1, 2024 through October 1, 2024, as the amounts were probable of significant reversal given the consideration is highly susceptible to factors outside the Company's influence. Cumulative carried interest allocation amounts that are subject to restraint and as such are not yet recognized were $9.6 million and $11.3 million as of December 31, 2025 and 2024, respectively. The Company also provides management services to AeroFlexx, which do not have a carried interest feature.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represents the breakout of revenue by source (in thousands):</w:t>
      </w:r>
    </w:p>
    <w:tbl>
      <w:tblPr>
        <w:tblW w:w="10205" w:type="dxa"/>
        <w:jc w:val="left"/>
        <w:tblInd w:w="0" w:type="dxa"/>
        <w:tblLayout w:type="fixed"/>
        <w:tblCellMar>
          <w:top w:w="28" w:type="dxa"/>
          <w:left w:w="28" w:type="dxa"/>
          <w:bottom w:w="28" w:type="dxa"/>
          <w:right w:w="28" w:type="dxa"/>
        </w:tblCellMar>
      </w:tblPr>
      <w:tblGrid>
        <w:gridCol w:w="800"/>
        <w:gridCol w:w="689"/>
        <w:gridCol w:w="622"/>
        <w:gridCol w:w="456"/>
        <w:gridCol w:w="1366"/>
        <w:gridCol w:w="237"/>
        <w:gridCol w:w="109"/>
        <w:gridCol w:w="109"/>
        <w:gridCol w:w="109"/>
        <w:gridCol w:w="712"/>
        <w:gridCol w:w="1625"/>
        <w:gridCol w:w="368"/>
        <w:gridCol w:w="109"/>
        <w:gridCol w:w="109"/>
        <w:gridCol w:w="109"/>
        <w:gridCol w:w="666"/>
        <w:gridCol w:w="1516"/>
        <w:gridCol w:w="494"/>
      </w:tblGrid>
      <w:tr>
        <w:trPr/>
        <w:tc>
          <w:tcPr>
            <w:tcW w:w="800"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r>
        <w:trPr/>
        <w:tc>
          <w:tcPr>
            <w:tcW w:w="2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Predecessor</w:t>
            </w:r>
          </w:p>
        </w:tc>
      </w:tr>
      <w:tr>
        <w:trPr/>
        <w:tc>
          <w:tcPr>
            <w:tcW w:w="2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 Ended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October 2, 2024 through 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January 1, 2024 through October 1, 2024</w:t>
            </w:r>
          </w:p>
        </w:tc>
      </w:tr>
      <w:tr>
        <w:trPr/>
        <w:tc>
          <w:tcPr>
            <w:tcW w:w="2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w:t>
            </w:r>
          </w:p>
        </w:tc>
        <w:tc>
          <w:tcPr>
            <w:tcW w:w="4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1,557 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4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fees - related party</w:t>
            </w:r>
          </w:p>
        </w:tc>
        <w:tc>
          <w:tcPr>
            <w:tcW w:w="18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669 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1" w:type="dxa"/>
            <w:gridSpan w:val="3"/>
            <w:tcBorders/>
            <w:vAlign w:val="center"/>
          </w:tcPr>
          <w:p>
            <w:pPr>
              <w:pStyle w:val="TableContents"/>
              <w:bidi w:val="0"/>
              <w:spacing w:before="0" w:after="283"/>
              <w:jc w:val="left"/>
              <w:rPr>
                <w:sz w:val="4"/>
                <w:szCs w:val="4"/>
              </w:rPr>
            </w:pPr>
            <w:r>
              <w:rPr>
                <w:sz w:val="4"/>
                <w:szCs w:val="4"/>
              </w:rPr>
            </w:r>
          </w:p>
        </w:tc>
        <w:tc>
          <w:tcPr>
            <w:tcW w:w="2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76" w:type="dxa"/>
            <w:gridSpan w:val="3"/>
            <w:tcBorders/>
            <w:vAlign w:val="center"/>
          </w:tcPr>
          <w:p>
            <w:pPr>
              <w:pStyle w:val="TableContents"/>
              <w:bidi w:val="0"/>
              <w:spacing w:before="0" w:after="283"/>
              <w:jc w:val="left"/>
              <w:rPr>
                <w:sz w:val="4"/>
                <w:szCs w:val="4"/>
              </w:rPr>
            </w:pPr>
            <w:r>
              <w:rPr>
                <w:sz w:val="4"/>
                <w:szCs w:val="4"/>
              </w:rPr>
            </w:r>
          </w:p>
        </w:tc>
      </w:tr>
      <w:tr>
        <w:trPr/>
        <w:tc>
          <w:tcPr>
            <w:tcW w:w="2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4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2,056</w:t>
            </w:r>
            <w:r>
              <w:rPr>
                <w:color w:val="000000"/>
              </w:rPr>
              <w:t> </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6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456</w:t>
            </w:r>
            <w:r>
              <w:rPr>
                <w:color w:val="000000"/>
              </w:rPr>
              <w:t> </w:t>
            </w:r>
          </w:p>
        </w:tc>
        <w:tc>
          <w:tcPr>
            <w:tcW w:w="3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5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764</w:t>
            </w:r>
            <w:r>
              <w:rPr>
                <w:color w:val="000000"/>
              </w:rPr>
              <w:t> </w:t>
            </w:r>
          </w:p>
        </w:tc>
        <w:tc>
          <w:tcPr>
            <w:tcW w:w="4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represents major customer concentration of revenue: </w:t>
      </w:r>
    </w:p>
    <w:tbl>
      <w:tblPr>
        <w:tblW w:w="10205" w:type="dxa"/>
        <w:jc w:val="left"/>
        <w:tblInd w:w="0" w:type="dxa"/>
        <w:tblLayout w:type="fixed"/>
        <w:tblCellMar>
          <w:top w:w="28" w:type="dxa"/>
          <w:left w:w="28" w:type="dxa"/>
          <w:bottom w:w="28" w:type="dxa"/>
          <w:right w:w="28" w:type="dxa"/>
        </w:tblCellMar>
      </w:tblPr>
      <w:tblGrid>
        <w:gridCol w:w="1152"/>
        <w:gridCol w:w="815"/>
        <w:gridCol w:w="819"/>
        <w:gridCol w:w="447"/>
        <w:gridCol w:w="383"/>
        <w:gridCol w:w="1066"/>
        <w:gridCol w:w="109"/>
        <w:gridCol w:w="109"/>
        <w:gridCol w:w="109"/>
        <w:gridCol w:w="555"/>
        <w:gridCol w:w="490"/>
        <w:gridCol w:w="1365"/>
        <w:gridCol w:w="109"/>
        <w:gridCol w:w="109"/>
        <w:gridCol w:w="109"/>
        <w:gridCol w:w="548"/>
        <w:gridCol w:w="455"/>
        <w:gridCol w:w="1456"/>
      </w:tblGrid>
      <w:tr>
        <w:trPr/>
        <w:tc>
          <w:tcPr>
            <w:tcW w:w="1152"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r>
      <w:tr>
        <w:trPr/>
        <w:tc>
          <w:tcPr>
            <w:tcW w:w="2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Predecessor</w:t>
            </w:r>
          </w:p>
        </w:tc>
      </w:tr>
      <w:tr>
        <w:trPr/>
        <w:tc>
          <w:tcPr>
            <w:tcW w:w="2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 Ended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October 2, 2024 through 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January 1, 2024 through October 1, 2024</w:t>
            </w:r>
          </w:p>
        </w:tc>
      </w:tr>
      <w:tr>
        <w:trPr/>
        <w:tc>
          <w:tcPr>
            <w:tcW w:w="27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A - Related Party</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0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13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77.0 </w:t>
            </w:r>
          </w:p>
        </w:tc>
        <w:tc>
          <w:tcPr>
            <w:tcW w:w="14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B - Related Party</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36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4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C</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0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D</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4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E</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48.9 </w:t>
            </w:r>
          </w:p>
        </w:tc>
        <w:tc>
          <w:tcPr>
            <w:tcW w:w="13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F</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0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8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Total Revenue Concentration of Major Customers</w:t>
            </w:r>
          </w:p>
        </w:tc>
        <w:tc>
          <w:tcPr>
            <w:tcW w:w="83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79.2</w:t>
            </w:r>
            <w:r>
              <w:rPr>
                <w:color w:val="000000"/>
              </w:rPr>
              <w:t> </w:t>
            </w:r>
          </w:p>
        </w:tc>
        <w:tc>
          <w:tcPr>
            <w:tcW w:w="10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97.8</w:t>
            </w:r>
            <w:r>
              <w:rPr>
                <w:color w:val="000000"/>
              </w:rPr>
              <w:t> </w:t>
            </w:r>
          </w:p>
        </w:tc>
        <w:tc>
          <w:tcPr>
            <w:tcW w:w="13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100.0</w:t>
            </w:r>
            <w:r>
              <w:rPr>
                <w:color w:val="000000"/>
              </w:rPr>
              <w:t> </w:t>
            </w:r>
          </w:p>
        </w:tc>
        <w:tc>
          <w:tcPr>
            <w:tcW w:w="14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9"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v:textbox>
                <w10:wrap type="none"/>
              </v:rect>
            </w:pict>
          </mc:Fallback>
        </mc:AlternateContent>
      </w:r>
    </w:p>
    <w:p>
      <w:pPr>
        <w:pStyle w:val="TextBody"/>
        <w:bidi w:val="0"/>
        <w:spacing w:lineRule="auto" w:line="288" w:before="0" w:after="120"/>
        <w:jc w:val="left"/>
        <w:rPr/>
      </w:pPr>
      <w:hyperlink w:anchor="i507f7219d73d42a58f688d408612ee4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0"/>
        <w:jc w:val="center"/>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16. Income Taxes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subject to federal and state income taxes with respect to any income or loss generated as well as the allocable share of any taxable income or loss of Innventure LLC and other partnership subsidiaries. The partnership subsidiaries within the consolidated group generally do not pay income taxes in most jurisdictions. Instead, taxable income or loss of the partnership subsidiaries is passed through to its members, including the Company. The partnership subsidiaries are liable for income taxes in those states not recognizing its pass-through status and for certain of its subsidiaries not taxed as pass-through entities. Through Innventure LLC, the Company acquired ownership interest in various domestic entities taxed as corporations. Where required or allowed, the corporation subsidiaries file and pay tax in a standalone basis for federal and state income tax purposes. The Company anticipates the US structure to remain in existence for the foreseeable future. In addition, Accelsius Ltd, a UK corporation, began operations in 2025 resulting in income tax return filing requirement for the Company in the UK.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(“OBBBA”) was enacted into U.S. tax law. OBBBA includes a broad range of tax reform provisions, such as the permanent extension of certain expiring provisions of the 2017 Tax Cuts and Jobs Act and modifications to the international tax framework. The enactment of OBBBA did not have a material impact on the Company’s results of operations, financial position, or cash flows for the year.</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provision for income before taxes was as follows (in thousands):</w:t>
      </w:r>
    </w:p>
    <w:tbl>
      <w:tblPr>
        <w:tblW w:w="10205" w:type="dxa"/>
        <w:jc w:val="left"/>
        <w:tblInd w:w="0" w:type="dxa"/>
        <w:tblLayout w:type="fixed"/>
        <w:tblCellMar>
          <w:top w:w="28" w:type="dxa"/>
          <w:left w:w="28" w:type="dxa"/>
          <w:bottom w:w="28" w:type="dxa"/>
          <w:right w:w="28" w:type="dxa"/>
        </w:tblCellMar>
      </w:tblPr>
      <w:tblGrid>
        <w:gridCol w:w="524"/>
        <w:gridCol w:w="368"/>
        <w:gridCol w:w="370"/>
        <w:gridCol w:w="418"/>
        <w:gridCol w:w="1741"/>
        <w:gridCol w:w="215"/>
        <w:gridCol w:w="142"/>
        <w:gridCol w:w="142"/>
        <w:gridCol w:w="142"/>
        <w:gridCol w:w="550"/>
        <w:gridCol w:w="2030"/>
        <w:gridCol w:w="284"/>
        <w:gridCol w:w="142"/>
        <w:gridCol w:w="142"/>
        <w:gridCol w:w="142"/>
        <w:gridCol w:w="540"/>
        <w:gridCol w:w="1910"/>
        <w:gridCol w:w="403"/>
      </w:tblGrid>
      <w:tr>
        <w:trPr/>
        <w:tc>
          <w:tcPr>
            <w:tcW w:w="524"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Successor</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3"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Predecessor</w:t>
            </w:r>
          </w:p>
        </w:tc>
      </w:tr>
      <w:tr>
        <w:trPr/>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 2025</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October 2, 2024 through December 31, 2024</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1, 2024 through October 1, 2024</w:t>
            </w:r>
          </w:p>
        </w:tc>
      </w:tr>
      <w:tr>
        <w:trPr/>
        <w:tc>
          <w:tcPr>
            <w:tcW w:w="1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(488,148)</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(73,375)</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(27,766)</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Foreign</w:t>
            </w:r>
            <w:r>
              <w:rPr>
                <w:rFonts w:ascii="Times New Roman;serif" w:hAnsi="Times New Roman;serif"/>
                <w:b w:val="false"/>
                <w:color w:val="000000"/>
                <w:sz w:val="10"/>
              </w:rPr>
              <w:t>1</w:t>
            </w:r>
          </w:p>
        </w:tc>
        <w:tc>
          <w:tcPr>
            <w:tcW w:w="2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4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(488,833)</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(73,375)</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0" w:type="dxa"/>
            <w:gridSpan w:val="2"/>
            <w:tcBorders>
              <w:top w:val="single" w:sz="8" w:space="0" w:color="000000"/>
              <w:left w:val="single" w:sz="8" w:space="0" w:color="000000"/>
              <w:bottom w:val="double" w:sz="8" w:space="0" w:color="000000"/>
            </w:tcBorders>
            <w:shd w:fill="CCEE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(27,766)</w:t>
            </w:r>
          </w:p>
        </w:tc>
        <w:tc>
          <w:tcPr>
            <w:tcW w:w="4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10"/>
              </w:rPr>
              <w:t>1</w:t>
            </w:r>
            <w:r>
              <w:rPr>
                <w:rFonts w:ascii="Times New Roman;serif" w:hAnsi="Times New Roman;serif"/>
                <w:b w:val="false"/>
                <w:color w:val="000000"/>
                <w:sz w:val="16"/>
              </w:rPr>
              <w:t>The Company adopted ASU 2023-09 on a prospective basis, and as a result for the year ended December 31, 2025, foreign income is presented on the country of domicile which results in Innventure, Inc’s income before taxes included. For the periods ended December 31, 2024 and October 1,2024, Innventure, Inc’s income was included in the United States based on the country of tax jurisdiction.</w:t>
            </w:r>
          </w:p>
        </w:tc>
      </w:tr>
    </w:tbl>
    <w:p>
      <w:pPr>
        <w:pStyle w:val="TextBody"/>
        <w:bidi w:val="0"/>
        <w:spacing w:before="0" w:after="0"/>
        <w:ind w:left="0" w:right="0" w:firstLine="360"/>
        <w:jc w:val="both"/>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provision for income taxes was as follows:</w:t>
      </w:r>
    </w:p>
    <w:tbl>
      <w:tblPr>
        <w:tblW w:w="10205" w:type="dxa"/>
        <w:jc w:val="left"/>
        <w:tblInd w:w="0" w:type="dxa"/>
        <w:tblLayout w:type="fixed"/>
        <w:tblCellMar>
          <w:top w:w="28" w:type="dxa"/>
          <w:left w:w="28" w:type="dxa"/>
          <w:bottom w:w="28" w:type="dxa"/>
          <w:right w:w="28" w:type="dxa"/>
        </w:tblCellMar>
      </w:tblPr>
      <w:tblGrid>
        <w:gridCol w:w="625"/>
        <w:gridCol w:w="536"/>
        <w:gridCol w:w="538"/>
        <w:gridCol w:w="417"/>
        <w:gridCol w:w="1556"/>
        <w:gridCol w:w="215"/>
        <w:gridCol w:w="109"/>
        <w:gridCol w:w="109"/>
        <w:gridCol w:w="109"/>
        <w:gridCol w:w="599"/>
        <w:gridCol w:w="1948"/>
        <w:gridCol w:w="310"/>
        <w:gridCol w:w="109"/>
        <w:gridCol w:w="109"/>
        <w:gridCol w:w="109"/>
        <w:gridCol w:w="698"/>
        <w:gridCol w:w="1591"/>
        <w:gridCol w:w="518"/>
      </w:tblGrid>
      <w:tr>
        <w:trPr/>
        <w:tc>
          <w:tcPr>
            <w:tcW w:w="625"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94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1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7"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Predecessor</w:t>
            </w:r>
          </w:p>
        </w:tc>
      </w:tr>
      <w:tr>
        <w:trPr/>
        <w:tc>
          <w:tcPr>
            <w:tcW w:w="1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 Ended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October 2, 2024 through 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January 1, 2024 through October 1, 2024</w:t>
            </w:r>
          </w:p>
        </w:tc>
      </w:tr>
      <w:tr>
        <w:trPr/>
        <w:tc>
          <w:tcPr>
            <w:tcW w:w="1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Current Expense:</w:t>
            </w:r>
          </w:p>
        </w:tc>
        <w:tc>
          <w:tcPr>
            <w:tcW w:w="21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1699" w:type="dxa"/>
            <w:gridSpan w:val="3"/>
            <w:tcBorders/>
            <w:vAlign w:val="center"/>
          </w:tcPr>
          <w:p>
            <w:pPr>
              <w:pStyle w:val="TableContents"/>
              <w:bidi w:val="0"/>
              <w:spacing w:before="0" w:after="283"/>
              <w:jc w:val="left"/>
              <w:rPr>
                <w:sz w:val="4"/>
                <w:szCs w:val="4"/>
              </w:rPr>
            </w:pPr>
            <w:r>
              <w:rPr>
                <w:sz w:val="4"/>
                <w:szCs w:val="4"/>
              </w:rPr>
            </w:r>
          </w:p>
        </w:tc>
        <w:tc>
          <w:tcPr>
            <w:tcW w:w="2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07" w:type="dxa"/>
            <w:gridSpan w:val="3"/>
            <w:tcBorders/>
            <w:vAlign w:val="center"/>
          </w:tcPr>
          <w:p>
            <w:pPr>
              <w:pStyle w:val="TableContents"/>
              <w:bidi w:val="0"/>
              <w:spacing w:before="0" w:after="283"/>
              <w:jc w:val="left"/>
              <w:rPr>
                <w:sz w:val="4"/>
                <w:szCs w:val="4"/>
              </w:rPr>
            </w:pPr>
            <w:r>
              <w:rPr>
                <w:sz w:val="4"/>
                <w:szCs w:val="4"/>
              </w:rPr>
            </w:r>
          </w:p>
        </w:tc>
      </w:tr>
      <w:tr>
        <w:trPr/>
        <w:tc>
          <w:tcPr>
            <w:tcW w:w="1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1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9" w:type="dxa"/>
            <w:gridSpan w:val="3"/>
            <w:tcBorders/>
            <w:vAlign w:val="center"/>
          </w:tcPr>
          <w:p>
            <w:pPr>
              <w:pStyle w:val="TableContents"/>
              <w:bidi w:val="0"/>
              <w:spacing w:before="0" w:after="283"/>
              <w:jc w:val="left"/>
              <w:rPr>
                <w:sz w:val="4"/>
                <w:szCs w:val="4"/>
              </w:rPr>
            </w:pPr>
            <w:r>
              <w:rPr>
                <w:sz w:val="4"/>
                <w:szCs w:val="4"/>
              </w:rPr>
            </w:r>
          </w:p>
        </w:tc>
        <w:tc>
          <w:tcPr>
            <w:tcW w:w="2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07" w:type="dxa"/>
            <w:gridSpan w:val="3"/>
            <w:tcBorders/>
            <w:vAlign w:val="center"/>
          </w:tcPr>
          <w:p>
            <w:pPr>
              <w:pStyle w:val="TableContents"/>
              <w:bidi w:val="0"/>
              <w:spacing w:before="0" w:after="283"/>
              <w:jc w:val="left"/>
              <w:rPr>
                <w:sz w:val="4"/>
                <w:szCs w:val="4"/>
              </w:rPr>
            </w:pPr>
            <w:r>
              <w:rPr>
                <w:sz w:val="4"/>
                <w:szCs w:val="4"/>
              </w:rPr>
            </w:r>
          </w:p>
        </w:tc>
      </w:tr>
      <w:tr>
        <w:trPr/>
        <w:tc>
          <w:tcPr>
            <w:tcW w:w="1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Current Expense</w:t>
            </w:r>
          </w:p>
        </w:tc>
        <w:tc>
          <w:tcPr>
            <w:tcW w:w="19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Deferred Expense:</w:t>
            </w:r>
          </w:p>
        </w:tc>
        <w:tc>
          <w:tcPr>
            <w:tcW w:w="2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1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(13,648)</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(3,300)</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1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9" w:type="dxa"/>
            <w:gridSpan w:val="3"/>
            <w:tcBorders/>
            <w:vAlign w:val="center"/>
          </w:tcPr>
          <w:p>
            <w:pPr>
              <w:pStyle w:val="TableContents"/>
              <w:bidi w:val="0"/>
              <w:spacing w:before="0" w:after="283"/>
              <w:jc w:val="left"/>
              <w:rPr>
                <w:sz w:val="4"/>
                <w:szCs w:val="4"/>
              </w:rPr>
            </w:pPr>
            <w:r>
              <w:rPr>
                <w:sz w:val="4"/>
                <w:szCs w:val="4"/>
              </w:rPr>
            </w:r>
          </w:p>
        </w:tc>
        <w:tc>
          <w:tcPr>
            <w:tcW w:w="2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07" w:type="dxa"/>
            <w:gridSpan w:val="3"/>
            <w:tcBorders/>
            <w:vAlign w:val="center"/>
          </w:tcPr>
          <w:p>
            <w:pPr>
              <w:pStyle w:val="TableContents"/>
              <w:bidi w:val="0"/>
              <w:spacing w:before="0" w:after="283"/>
              <w:jc w:val="left"/>
              <w:rPr>
                <w:sz w:val="4"/>
                <w:szCs w:val="4"/>
              </w:rPr>
            </w:pPr>
            <w:r>
              <w:rPr>
                <w:sz w:val="4"/>
                <w:szCs w:val="4"/>
              </w:rPr>
            </w:r>
          </w:p>
        </w:tc>
      </w:tr>
      <w:tr>
        <w:trPr/>
        <w:tc>
          <w:tcPr>
            <w:tcW w:w="1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Deferred Expense</w:t>
            </w:r>
          </w:p>
        </w:tc>
        <w:tc>
          <w:tcPr>
            <w:tcW w:w="19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(13,506)</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(3,300)</w:t>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5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Expense:</w:t>
            </w:r>
          </w:p>
        </w:tc>
        <w:tc>
          <w:tcPr>
            <w:tcW w:w="41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(13,483)</w:t>
            </w:r>
          </w:p>
        </w:tc>
        <w:tc>
          <w:tcPr>
            <w:tcW w:w="21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9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94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(3,282)</w:t>
            </w:r>
          </w:p>
        </w:tc>
        <w:tc>
          <w:tcPr>
            <w:tcW w:w="31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98" w:type="dxa"/>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5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432</w:t>
            </w:r>
            <w:r>
              <w:rPr>
                <w:color w:val="000000"/>
              </w:rPr>
              <w:t> </w:t>
            </w:r>
          </w:p>
        </w:tc>
        <w:tc>
          <w:tcPr>
            <w:tcW w:w="51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20"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119</w:t>
                      </w:r>
                    </w:p>
                  </w:txbxContent>
                </v:textbox>
                <w10:wrap type="none"/>
              </v:rect>
            </w:pict>
          </mc:Fallback>
        </mc:AlternateContent>
      </w:r>
    </w:p>
    <w:p>
      <w:pPr>
        <w:pStyle w:val="TextBody"/>
        <w:bidi w:val="0"/>
        <w:spacing w:lineRule="auto" w:line="288" w:before="0" w:after="120"/>
        <w:jc w:val="left"/>
        <w:rPr/>
      </w:pPr>
      <w:hyperlink w:anchor="i507f7219d73d42a58f688d408612ee4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0"/>
        <w:jc w:val="center"/>
        <w:rPr/>
      </w:pPr>
      <w:r>
        <w:rPr/>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Beginning with the year ended December 31, 2025, the Company has adopted ASU 2023-09 and, as a result, the reconciliation of income tax expense has been updated on a prospective basis. The Company did not pay income taxes net of refunds during the year ended December 31, 2025. As no income taxes were paid, disaggregation by federal, state, or foreign jurisdiction was not applicable for the period presented. The income tax benefit reflected in the Consolidated Statements of Operations differs from the tax computed by applying the statutory U.S. federal rate of 21% to "Income tax expense (Benefit)" was as follows:</w:t>
      </w:r>
    </w:p>
    <w:tbl>
      <w:tblPr>
        <w:tblW w:w="7882" w:type="dxa"/>
        <w:jc w:val="left"/>
        <w:tblInd w:w="0" w:type="dxa"/>
        <w:tblLayout w:type="fixed"/>
        <w:tblCellMar>
          <w:top w:w="28" w:type="dxa"/>
          <w:left w:w="28" w:type="dxa"/>
          <w:bottom w:w="28" w:type="dxa"/>
          <w:right w:w="28" w:type="dxa"/>
        </w:tblCellMar>
      </w:tblPr>
      <w:tblGrid>
        <w:gridCol w:w="1475"/>
        <w:gridCol w:w="1301"/>
        <w:gridCol w:w="1304"/>
        <w:gridCol w:w="412"/>
        <w:gridCol w:w="1564"/>
        <w:gridCol w:w="214"/>
        <w:gridCol w:w="324"/>
        <w:gridCol w:w="327"/>
        <w:gridCol w:w="589"/>
        <w:gridCol w:w="109"/>
        <w:gridCol w:w="109"/>
        <w:gridCol w:w="154"/>
      </w:tblGrid>
      <w:tr>
        <w:trPr/>
        <w:tc>
          <w:tcPr>
            <w:tcW w:w="1475"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Successor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2190"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0" w:type="dxa"/>
            <w:gridSpan w:val="6"/>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percentages)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at federal statutory rate</w:t>
            </w:r>
          </w:p>
        </w:tc>
        <w:tc>
          <w:tcPr>
            <w:tcW w:w="1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(102,655)</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5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State taxes, net of federal benefit</w:t>
            </w:r>
            <w:r>
              <w:rPr>
                <w:rFonts w:ascii="Times New Roman;serif" w:hAnsi="Times New Roman;serif"/>
                <w:b w:val="false"/>
                <w:color w:val="000000"/>
                <w:sz w:val="13"/>
              </w:rPr>
              <w:t>2</w:t>
            </w:r>
          </w:p>
        </w:tc>
        <w:tc>
          <w:tcPr>
            <w:tcW w:w="1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2190"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liability</w:t>
            </w:r>
          </w:p>
        </w:tc>
        <w:tc>
          <w:tcPr>
            <w:tcW w:w="1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(1,379)</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5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Non-deductible expenses</w:t>
            </w:r>
          </w:p>
        </w:tc>
        <w:tc>
          <w:tcPr>
            <w:tcW w:w="1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earnout fair value</w:t>
            </w:r>
          </w:p>
        </w:tc>
        <w:tc>
          <w:tcPr>
            <w:tcW w:w="1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(2,098)</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5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permanent differences</w:t>
            </w:r>
          </w:p>
        </w:tc>
        <w:tc>
          <w:tcPr>
            <w:tcW w:w="1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7,224 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5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valuation allowance</w:t>
            </w:r>
          </w:p>
        </w:tc>
        <w:tc>
          <w:tcPr>
            <w:tcW w:w="1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11,618 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5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2190"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1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72,777 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5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Officer’s compensation</w:t>
            </w:r>
          </w:p>
        </w:tc>
        <w:tc>
          <w:tcPr>
            <w:tcW w:w="1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1,141 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5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Total provision (benefit) for income taxes </w:t>
            </w:r>
          </w:p>
        </w:tc>
        <w:tc>
          <w:tcPr>
            <w:tcW w:w="41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56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(13,483)</w:t>
            </w:r>
          </w:p>
        </w:tc>
        <w:tc>
          <w:tcPr>
            <w:tcW w:w="21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2.7</w:t>
            </w:r>
            <w:r>
              <w:rPr>
                <w:color w:val="000000"/>
              </w:rPr>
              <w:t> </w:t>
            </w:r>
          </w:p>
        </w:tc>
        <w:tc>
          <w:tcPr>
            <w:tcW w:w="58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0" w:type="dxa"/>
            <w:gridSpan w:val="9"/>
            <w:tcBorders/>
            <w:shd w:fill="FFFFFF" w:val="clear"/>
            <w:tcMar>
              <w:top w:w="0" w:type="dxa"/>
              <w:left w:w="0" w:type="dxa"/>
              <w:bottom w:w="0" w:type="dxa"/>
              <w:right w:w="0" w:type="dxa"/>
            </w:tcMar>
            <w:vAlign w:val="center"/>
          </w:tcPr>
          <w:p>
            <w:pPr>
              <w:pStyle w:val="TableContents"/>
              <w:bidi w:val="0"/>
              <w:spacing w:lineRule="auto" w:line="288" w:before="0" w:after="40"/>
              <w:jc w:val="left"/>
              <w:rPr/>
            </w:pPr>
            <w:r>
              <w:rPr>
                <w:rFonts w:ascii="Times New Roman;serif" w:hAnsi="Times New Roman;serif"/>
                <w:b w:val="false"/>
                <w:color w:val="000000"/>
                <w:sz w:val="13"/>
              </w:rPr>
              <w:t>2</w:t>
            </w:r>
            <w:r>
              <w:rPr>
                <w:rFonts w:ascii="Times New Roman;serif" w:hAnsi="Times New Roman;serif"/>
                <w:b w:val="false"/>
                <w:color w:val="000000"/>
                <w:sz w:val="16"/>
              </w:rPr>
              <w:t>Arizona, Florida, New York, Oklahoma, and Virginia represent majority of the tax effect in this category.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For the successor period October 2, 2024 through December 31, 2024 and the predecessor period January 1, 2024 through October 1, 2024, income tax expense reflected in the Consolidated Statements of Operations differs from the tax computed by applying the statutory U.S. federal rate of 21% to "Income tax expense (benefit)" was as follows:</w:t>
      </w:r>
    </w:p>
    <w:tbl>
      <w:tblPr>
        <w:tblW w:w="10205" w:type="dxa"/>
        <w:jc w:val="left"/>
        <w:tblInd w:w="0" w:type="dxa"/>
        <w:tblLayout w:type="fixed"/>
        <w:tblCellMar>
          <w:top w:w="28" w:type="dxa"/>
          <w:left w:w="28" w:type="dxa"/>
          <w:bottom w:w="28" w:type="dxa"/>
          <w:right w:w="28" w:type="dxa"/>
        </w:tblCellMar>
      </w:tblPr>
      <w:tblGrid>
        <w:gridCol w:w="1262"/>
        <w:gridCol w:w="947"/>
        <w:gridCol w:w="950"/>
        <w:gridCol w:w="109"/>
        <w:gridCol w:w="109"/>
        <w:gridCol w:w="359"/>
        <w:gridCol w:w="1158"/>
        <w:gridCol w:w="185"/>
        <w:gridCol w:w="185"/>
        <w:gridCol w:w="185"/>
        <w:gridCol w:w="185"/>
        <w:gridCol w:w="281"/>
        <w:gridCol w:w="283"/>
        <w:gridCol w:w="513"/>
        <w:gridCol w:w="109"/>
        <w:gridCol w:w="109"/>
        <w:gridCol w:w="109"/>
        <w:gridCol w:w="371"/>
        <w:gridCol w:w="847"/>
        <w:gridCol w:w="191"/>
        <w:gridCol w:w="191"/>
        <w:gridCol w:w="191"/>
        <w:gridCol w:w="191"/>
        <w:gridCol w:w="315"/>
        <w:gridCol w:w="249"/>
        <w:gridCol w:w="621"/>
      </w:tblGrid>
      <w:tr>
        <w:trPr/>
        <w:tc>
          <w:tcPr>
            <w:tcW w:w="1262"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r>
      <w:tr>
        <w:trPr/>
        <w:tc>
          <w:tcPr>
            <w:tcW w:w="3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Successor</w:t>
            </w:r>
          </w:p>
        </w:tc>
        <w:tc>
          <w:tcPr>
            <w:tcW w:w="32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16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Predecessor</w:t>
            </w:r>
          </w:p>
        </w:tc>
      </w:tr>
      <w:tr>
        <w:trPr/>
        <w:tc>
          <w:tcPr>
            <w:tcW w:w="3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October 2, 2024 through 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7" w:type="dxa"/>
            <w:gridSpan w:val="9"/>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January 1, 2024 through October 1, 2024</w:t>
            </w:r>
          </w:p>
        </w:tc>
      </w:tr>
      <w:tr>
        <w:trPr/>
        <w:tc>
          <w:tcPr>
            <w:tcW w:w="3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2"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at federal statutory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(15,405)</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State taxes, net of federal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(1,801)</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5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 on pre-tax earnings of corporate subsidiaries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(3,022)</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6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5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Non-deductible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earnout 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(714)</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permanent differences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5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valuation allowance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11,664 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5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6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R&amp;D credit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(294)</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5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2"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2"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1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Total provision (benefit) for income taxes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5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(3,282)</w:t>
            </w:r>
          </w:p>
        </w:tc>
        <w:tc>
          <w:tcPr>
            <w:tcW w:w="18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4.6</w:t>
            </w:r>
            <w:r>
              <w:rPr>
                <w:color w:val="000000"/>
              </w:rPr>
              <w:t> </w:t>
            </w:r>
          </w:p>
        </w:tc>
        <w:tc>
          <w:tcPr>
            <w:tcW w:w="5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432</w:t>
            </w:r>
            <w:r>
              <w:rPr>
                <w:color w:val="000000"/>
              </w:rPr>
              <w:t> </w:t>
            </w:r>
          </w:p>
        </w:tc>
        <w:tc>
          <w:tcPr>
            <w:tcW w:w="1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(1.5)</w:t>
            </w:r>
          </w:p>
        </w:tc>
        <w:tc>
          <w:tcPr>
            <w:tcW w:w="6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1"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120</w:t>
                      </w:r>
                    </w:p>
                  </w:txbxContent>
                </v:textbox>
                <w10:wrap type="none"/>
              </v:rect>
            </w:pict>
          </mc:Fallback>
        </mc:AlternateContent>
      </w:r>
    </w:p>
    <w:p>
      <w:pPr>
        <w:pStyle w:val="TextBody"/>
        <w:bidi w:val="0"/>
        <w:spacing w:lineRule="auto" w:line="288" w:before="0" w:after="120"/>
        <w:jc w:val="left"/>
        <w:rPr/>
      </w:pPr>
      <w:hyperlink w:anchor="i507f7219d73d42a58f688d408612ee4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Entities within the consolidated group that are considered a corporation for federal income tax purposes, recognize deferred income tax assets and liabilities for the future tax consequences attributable to temporary differences between the financial statement carrying amounts of existing assets and liabilities and their respective tax bases using currently enacted tax rates in effect for the year in which the differences are expected to reverse. Significant components of deferred tax assets and liabilities as of December 31, 2025 and 2024 are as follows: </w:t>
      </w:r>
    </w:p>
    <w:tbl>
      <w:tblPr>
        <w:tblW w:w="7436" w:type="dxa"/>
        <w:jc w:val="left"/>
        <w:tblInd w:w="0" w:type="dxa"/>
        <w:tblLayout w:type="fixed"/>
        <w:tblCellMar>
          <w:top w:w="28" w:type="dxa"/>
          <w:left w:w="28" w:type="dxa"/>
          <w:bottom w:w="28" w:type="dxa"/>
          <w:right w:w="28" w:type="dxa"/>
        </w:tblCellMar>
      </w:tblPr>
      <w:tblGrid>
        <w:gridCol w:w="1308"/>
        <w:gridCol w:w="1150"/>
        <w:gridCol w:w="1157"/>
        <w:gridCol w:w="326"/>
        <w:gridCol w:w="1231"/>
        <w:gridCol w:w="168"/>
        <w:gridCol w:w="109"/>
        <w:gridCol w:w="109"/>
        <w:gridCol w:w="109"/>
        <w:gridCol w:w="321"/>
        <w:gridCol w:w="1214"/>
        <w:gridCol w:w="234"/>
      </w:tblGrid>
      <w:tr>
        <w:trPr/>
        <w:tc>
          <w:tcPr>
            <w:tcW w:w="1308"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Deferred Tax Assets:</w:t>
            </w:r>
          </w:p>
        </w:tc>
        <w:tc>
          <w:tcPr>
            <w:tcW w:w="1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lease liabilities</w:t>
            </w:r>
          </w:p>
        </w:tc>
        <w:tc>
          <w:tcPr>
            <w:tcW w:w="3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Reserves and other accruals</w:t>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8,991 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4,873 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R&amp;D expense</w:t>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3,740 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2,562 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Fixed assets and intangibles</w:t>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3,113 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Gain/Loss</w:t>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carry-forwards and other tax attributes</w:t>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29,753 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15,682 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i/>
                <w:color w:val="000000"/>
                <w:sz w:val="20"/>
              </w:rPr>
              <w:t>Total Deferred Tax Assets</w:t>
            </w:r>
            <w:r>
              <w:rPr>
                <w:color w:val="000000"/>
              </w:rPr>
              <w:t xml:space="preserve"> </w:t>
            </w:r>
          </w:p>
        </w:tc>
        <w:tc>
          <w:tcPr>
            <w:tcW w:w="15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47,521</w:t>
            </w:r>
            <w:r>
              <w:rPr>
                <w:color w:val="000000"/>
              </w:rPr>
              <w:t>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26,368</w:t>
            </w:r>
            <w:r>
              <w:rPr>
                <w:color w:val="000000"/>
              </w:rPr>
              <w:t>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Valuation allowance</w:t>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(23,130)</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(11,664)</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Net Deferred Tax Assets </w:t>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24,391</w:t>
            </w:r>
            <w:r>
              <w:rPr>
                <w:color w:val="000000"/>
              </w:rPr>
              <w:t>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14,704</w:t>
            </w:r>
            <w:r>
              <w:rPr>
                <w:color w:val="000000"/>
              </w:rPr>
              <w:t>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Deferred Tax Liabilities:</w:t>
            </w:r>
          </w:p>
        </w:tc>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3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(34,213)</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(38,443)</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Partnerships</w:t>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(3,505)</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 of use assets</w:t>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i/>
                <w:color w:val="000000"/>
                <w:sz w:val="20"/>
              </w:rPr>
              <w:t>Total Deferred Tax Liabilities</w:t>
            </w:r>
            <w:r>
              <w:rPr>
                <w:color w:val="000000"/>
              </w:rPr>
              <w:t xml:space="preserve"> </w:t>
            </w:r>
          </w:p>
        </w:tc>
        <w:tc>
          <w:tcPr>
            <w:tcW w:w="15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(38,239)</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(42,057)</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Net Deferred Tax Liabilities </w:t>
            </w:r>
          </w:p>
        </w:tc>
        <w:tc>
          <w:tcPr>
            <w:tcW w:w="3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(13,848)</w:t>
            </w:r>
          </w:p>
        </w:tc>
        <w:tc>
          <w:tcPr>
            <w:tcW w:w="16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1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(27,353)</w:t>
            </w:r>
          </w:p>
        </w:tc>
        <w:tc>
          <w:tcPr>
            <w:tcW w:w="23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Deferred tax assets are regularly reviewed for recoverability and a valuation allowance is provided when it is more likely than not that some portion or all of a deferred tax asset will not be realized. The ultimate realization of deferred tax assets is dependent upon future taxable income during the periods in which those temporary differences become deductible. In assessing the need for a valuation allowance, management considers all available positive and negative evidence, including the ability to carryback operating losses to prior periods and the expected future utilization of net operating loss carryforwards, the reversal of deferred tax liabilities, projected taxable income, and tax-planning strategies.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Valuation allowances are established when it is more likely than not that all or a portion of a deferred tax asset will not be realized. The valuation allowance on deferred tax assets was $23.1 million as of December 31, 2025 and $11.7 million as of December 31, 2024, resulting in a net change of $11.5 million. The increase in valuation allowance of $11.5 million during the period mainly relates to U.S. federal and state operating loss carryforwards and equity based compensation deferred tax assets that were deemed unrealizable. During this period, Accelsius LLC has recognized $39.6 million deferred tax liability balance in acquired intangible assets during 2024 as a result of the Business Combination transaction that is nontaxable in nature. These deferred tax liabilities are expected to reverse over time, typically as the intangible assets are amortized for financial reporting purposes. The Company and the remaining corporate subsidiaries maintained the valuation allowance as the entities have been in a pre-tax loss position, with insufficient projected taxable income (exclusive of reversing taxable temporary differences) to recognize the benefit of net deferred tax assets as of the end of the year.</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taxable entity had net operating loss carryforwards for income tax purposes of approximately $127.0 million related to US federal taxes and $0.7 million related to the UK, all of which may be carried forward indefinitely. The Company and certain subsidiaries also have state net operating loss (“NOL”) carryforwards in the amount of $40.6 million. The state NOL carryforwards begin to expire in 2039, however, some state NOL’s are able to be carried forward indefinitely.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2"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121</w:t>
                      </w:r>
                    </w:p>
                  </w:txbxContent>
                </v:textbox>
                <w10:wrap type="none"/>
              </v:rect>
            </w:pict>
          </mc:Fallback>
        </mc:AlternateContent>
      </w:r>
    </w:p>
    <w:p>
      <w:pPr>
        <w:pStyle w:val="TextBody"/>
        <w:bidi w:val="0"/>
        <w:spacing w:lineRule="auto" w:line="288" w:before="0" w:after="120"/>
        <w:jc w:val="left"/>
        <w:rPr/>
      </w:pPr>
      <w:hyperlink w:anchor="i507f7219d73d42a58f688d408612ee4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0"/>
        <w:jc w:val="center"/>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and 2024, the Company had no material unrecognized income tax benefits or uncertain tax positions. Also, we do not expect to incur interest charges or penalties related to our tax positions, but if such charges or penalties are incurred, our policy is to account for interest charges as interest expense and penalties as tax expense in the consolidated statements of operations.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of December 31, 2025, tax years 2023 through 2025 remain open and subject to examination by the Internal Revenue Service and the states where the Company has nexus. The company is also subject to examination for the tax year 2025 in the UK due to Accelsius LTD.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3"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122</w:t>
                      </w:r>
                    </w:p>
                  </w:txbxContent>
                </v:textbox>
                <w10:wrap type="none"/>
              </v:rect>
            </w:pict>
          </mc:Fallback>
        </mc:AlternateContent>
      </w:r>
    </w:p>
    <w:p>
      <w:pPr>
        <w:pStyle w:val="TextBody"/>
        <w:bidi w:val="0"/>
        <w:spacing w:lineRule="auto" w:line="288" w:before="0" w:after="120"/>
        <w:jc w:val="left"/>
        <w:rPr/>
      </w:pPr>
      <w:hyperlink w:anchor="i507f7219d73d42a58f688d408612ee4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0"/>
        <w:jc w:val="center"/>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17. Net Loss Per Share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follows the two-class method when computing net loss per common share when shares are issued that meet the definition of participating securities. The two-class method requires income available to common shareholders for the period to be allocated between common shares and participating securities based upon their respective rights to receive dividends as if all income for the period had been distributed. The two-class method also requires losses for the period to be allocated between common shares and participating securities based on their respective rights if the participating security contractually participates in losses. As holders of Series B preferred shares, Series C preferred shares and WTI warrants, which are determined to be participating securities, do not have a contractual obligation to fund losses, undistributed net losses are not allocated to them for purposes of the loss per share calculation.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Given the historical structure of the Predecessor, the Company determined that the calculation of earnings per membership unit results in values that are not a valuable metric to users of these consolidated financial statements. Therefore, earnings per share (“EPS”) information is omitted for the Predecessor periods. </w:t>
      </w:r>
    </w:p>
    <w:p>
      <w:pPr>
        <w:pStyle w:val="TextBody"/>
        <w:bidi w:val="0"/>
        <w:spacing w:lineRule="auto" w:line="288" w:before="0" w:after="0"/>
        <w:jc w:val="left"/>
        <w:rPr/>
      </w:pPr>
      <w:r>
        <w:rPr>
          <w:rFonts w:ascii="Times New Roman;serif" w:hAnsi="Times New Roman;serif"/>
          <w:b w:val="false"/>
          <w:color w:val="000000"/>
          <w:sz w:val="20"/>
        </w:rPr>
        <w:t>Presented in the table below is a reconciliation of the numerator and denominator for the EPS calculations(</w:t>
      </w:r>
      <w:r>
        <w:rPr>
          <w:rFonts w:ascii="Times New Roman;serif" w:hAnsi="Times New Roman;serif"/>
          <w:b w:val="false"/>
          <w:i/>
          <w:color w:val="000000"/>
          <w:sz w:val="20"/>
        </w:rPr>
        <w:t>in thousands except per share amounts</w:t>
      </w:r>
      <w:r>
        <w:rPr>
          <w:rFonts w:ascii="Times New Roman;serif" w:hAnsi="Times New Roman;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1896"/>
        <w:gridCol w:w="1578"/>
        <w:gridCol w:w="1592"/>
        <w:gridCol w:w="274"/>
        <w:gridCol w:w="1158"/>
        <w:gridCol w:w="142"/>
        <w:gridCol w:w="109"/>
        <w:gridCol w:w="109"/>
        <w:gridCol w:w="109"/>
        <w:gridCol w:w="457"/>
        <w:gridCol w:w="1711"/>
        <w:gridCol w:w="1070"/>
      </w:tblGrid>
      <w:tr>
        <w:trPr/>
        <w:tc>
          <w:tcPr>
            <w:tcW w:w="1896"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r>
      <w:tr>
        <w:trPr/>
        <w:tc>
          <w:tcPr>
            <w:tcW w:w="5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October 2, 2024 through December 31, 2024</w:t>
            </w:r>
          </w:p>
        </w:tc>
      </w:tr>
      <w:tr>
        <w:trPr/>
        <w:tc>
          <w:tcPr>
            <w:tcW w:w="5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5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Innventure, Inc. shareholders</w:t>
            </w:r>
          </w:p>
        </w:tc>
        <w:tc>
          <w:tcPr>
            <w:tcW w:w="27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(293,317)</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(61,754)</w:t>
            </w:r>
          </w:p>
        </w:tc>
        <w:tc>
          <w:tcPr>
            <w:tcW w:w="1070"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066"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Less: Cumulative earnings to participating securities</w:t>
            </w:r>
          </w:p>
        </w:tc>
        <w:tc>
          <w:tcPr>
            <w:tcW w:w="14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0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6"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38" w:type="dxa"/>
            <w:gridSpan w:val="3"/>
            <w:tcBorders/>
            <w:vAlign w:val="center"/>
          </w:tcPr>
          <w:p>
            <w:pPr>
              <w:pStyle w:val="TableContents"/>
              <w:bidi w:val="0"/>
              <w:spacing w:before="0" w:after="283"/>
              <w:jc w:val="left"/>
              <w:rPr>
                <w:sz w:val="4"/>
                <w:szCs w:val="4"/>
              </w:rPr>
            </w:pPr>
            <w:r>
              <w:rPr>
                <w:sz w:val="4"/>
                <w:szCs w:val="4"/>
              </w:rPr>
            </w:r>
          </w:p>
        </w:tc>
      </w:tr>
      <w:tr>
        <w:trPr/>
        <w:tc>
          <w:tcPr>
            <w:tcW w:w="50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Undistributed loss for participating securities </w:t>
            </w:r>
          </w:p>
        </w:tc>
        <w:tc>
          <w:tcPr>
            <w:tcW w:w="14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(293,437)</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(61,971)</w:t>
            </w:r>
          </w:p>
        </w:tc>
        <w:tc>
          <w:tcPr>
            <w:tcW w:w="10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066"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Less: Undistributed loss attributable to participating securities</w:t>
            </w:r>
          </w:p>
        </w:tc>
        <w:tc>
          <w:tcPr>
            <w:tcW w:w="14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Loss attributable to common shareholders, basic and diluted</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(293,437)</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(61,971)</w:t>
            </w:r>
          </w:p>
        </w:tc>
        <w:tc>
          <w:tcPr>
            <w:tcW w:w="10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8"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066"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Weighted average number of units outstanding, basic and diluted</w:t>
            </w:r>
          </w:p>
        </w:tc>
        <w:tc>
          <w:tcPr>
            <w:tcW w:w="14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54,421 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43,951 </w:t>
            </w:r>
          </w:p>
        </w:tc>
        <w:tc>
          <w:tcPr>
            <w:tcW w:w="10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Net loss per share attributable to common shareholders, basic and diluted </w:t>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(5.39)</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7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(1.41)</w:t>
            </w:r>
          </w:p>
        </w:tc>
        <w:tc>
          <w:tcPr>
            <w:tcW w:w="10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Basic and diluted net loss per share was the same for each period presented as the inclusion of all potential common stock outstanding would have been anti-dilutive.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potential common stock outstanding that was excluded from the computation of diluted net loss per share of common stock for the periods presented because including them would have been antidilutive: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4"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123</w:t>
                      </w:r>
                    </w:p>
                  </w:txbxContent>
                </v:textbox>
                <w10:wrap type="none"/>
              </v:rect>
            </w:pict>
          </mc:Fallback>
        </mc:AlternateContent>
      </w:r>
    </w:p>
    <w:p>
      <w:pPr>
        <w:pStyle w:val="TextBody"/>
        <w:bidi w:val="0"/>
        <w:spacing w:lineRule="auto" w:line="288" w:before="0" w:after="120"/>
        <w:jc w:val="left"/>
        <w:rPr/>
      </w:pPr>
      <w:hyperlink w:anchor="i507f7219d73d42a58f688d408612ee4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0"/>
        <w:jc w:val="center"/>
        <w:rPr/>
      </w:pPr>
      <w:r>
        <w:rPr/>
      </w:r>
    </w:p>
    <w:tbl>
      <w:tblPr>
        <w:tblW w:w="6162" w:type="dxa"/>
        <w:jc w:val="left"/>
        <w:tblInd w:w="0" w:type="dxa"/>
        <w:tblLayout w:type="fixed"/>
        <w:tblCellMar>
          <w:top w:w="28" w:type="dxa"/>
          <w:left w:w="28" w:type="dxa"/>
          <w:bottom w:w="28" w:type="dxa"/>
          <w:right w:w="28" w:type="dxa"/>
        </w:tblCellMar>
      </w:tblPr>
      <w:tblGrid>
        <w:gridCol w:w="830"/>
        <w:gridCol w:w="730"/>
        <w:gridCol w:w="735"/>
        <w:gridCol w:w="574"/>
        <w:gridCol w:w="574"/>
        <w:gridCol w:w="576"/>
        <w:gridCol w:w="109"/>
        <w:gridCol w:w="109"/>
        <w:gridCol w:w="109"/>
        <w:gridCol w:w="540"/>
        <w:gridCol w:w="541"/>
        <w:gridCol w:w="735"/>
      </w:tblGrid>
      <w:tr>
        <w:trPr/>
        <w:tc>
          <w:tcPr>
            <w:tcW w:w="83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Public warrants</w:t>
            </w:r>
          </w:p>
        </w:tc>
        <w:tc>
          <w:tcPr>
            <w:tcW w:w="11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11,246,000 </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11,500,000 </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Private placement warrants</w:t>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7,146,000 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7,146,000 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2024 WTI Warrants</w:t>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5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7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Debentures</w:t>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1,750,726 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2025 WTI Warrants</w:t>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495,074 </w:t>
            </w:r>
          </w:p>
        </w:tc>
        <w:tc>
          <w:tcPr>
            <w:tcW w:w="5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Series B Preferred Stock</w:t>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55,067 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1,011,869 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Series C Preferred Stock</w:t>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249,214 </w:t>
            </w:r>
          </w:p>
        </w:tc>
        <w:tc>
          <w:tcPr>
            <w:tcW w:w="5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 options</w:t>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1,026,404 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975,409 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1,029,435 </w:t>
            </w:r>
          </w:p>
        </w:tc>
        <w:tc>
          <w:tcPr>
            <w:tcW w:w="5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2,036,476 </w:t>
            </w:r>
          </w:p>
        </w:tc>
        <w:tc>
          <w:tcPr>
            <w:tcW w:w="7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SARs</w:t>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4,000,000 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320,000 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5"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124</w:t>
                      </w:r>
                    </w:p>
                  </w:txbxContent>
                </v:textbox>
                <w10:wrap type="none"/>
              </v:rect>
            </w:pict>
          </mc:Fallback>
        </mc:AlternateContent>
      </w:r>
    </w:p>
    <w:p>
      <w:pPr>
        <w:pStyle w:val="TextBody"/>
        <w:bidi w:val="0"/>
        <w:spacing w:lineRule="auto" w:line="288" w:before="0" w:after="120"/>
        <w:jc w:val="left"/>
        <w:rPr/>
      </w:pPr>
      <w:hyperlink w:anchor="i507f7219d73d42a58f688d408612ee4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0"/>
        <w:jc w:val="center"/>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18. Related Party Transactions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more fully described in Note 5. Borrowings, the Company has various notes with affiliates, including short-term notes with three separate related parties which were settled on March 20, 2025. In addition, the Company issued a convertible note to the ESG Fund pursuant to the Amended and Restated Series I Convertible Note Purchase Agreement, dated as of June 2, 2023, by and among Accelsius, ESG Fund, and the other parties thereto, which were converted during the Predecessor period January 1, 2024 to October 1, 2024. During the year ended December 31, 2025 (Successor), the Company entered into the Related Party Convertible Notes with various related parties, including other lenders.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Transactions with Directors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As more fully described in Note 12. Stock-based Compensation, the Company issued various equity awards to related parties throughout 2024. On December 9, 2024, the Company issued 1,246,722 RSUs with a grant date fair value of $15.2 million and 590,163 stock options with a grant date fair value of $3.9 million to a cumulative of eight directors. On December 31, 2024, the Company issued 200,000 SARs with a grant date fair value of $7.8 million to four directors and former directors. On March 22, 2024, Accelsius issued 100,000 Class C Units with a grant date fair value of $0.4 million to one director under the Accelsius Subsidiary Equity Plan. Additionally, on June 25, 2025, the Company issued 111,525 RSUs with a grant date fair value of $0.6 million to five directors pursuant to the Innventure Non-Management Director Compensation Plan. On August 25, 2025, the Company issued 338,601 RSUs with a grant date fair value of $1.5 million to two directors, pursuant to the 2024 Plan.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Transactions with the ESG Fund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the normal course of business, the Company advances certain expenses on behalf of the ESG Fund. Certain expenses paid by the Company, which meet certain criteria, are reimbursed to the Company by the ESG Fund. Amounts paid by the Company and reimbursable by the ESG Fund were $0.1 million for the year ended December 31, 2025 (Successor), $0.1 million for the Successor period from October 2, 2024 through December 31, 2024, and $0.1 million for the Predecessor period from January 1, 2024 through October 1, 2024. There was an immaterial receivable related to those expenses included in Due from related parties in the consolidated balance sheet as of December 31, 2025 and a $0.1 million receivable due from related parties in the consolidated balance sheet as of December 31, 2024.</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more fully described in Note 2. Accounting Policies, the Company earns a 1-2% management fee for administrative, finance and accounting, and other back-office functions from the ESG Fund. Management fees earned from the ESG Fund were $0.4 million for the year ended December 31, 2025 (Successor), $0.2 million for the Successor period from October 2, 2024 through December 31, 2024, and $0.6 million for the Predecessor period from January 1, 2024 through October 1, 2024, which is recorded as Revenue in the consolidated statements of operations and comprehensive income (loss).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March 2021, the Company entered into a purchase option agreement with the ESG Fund to sell 145,161 shares of PureCycle Technologies, Inc. (“PCT”) common stock with an exercise price of $1. The option period would have expired on July 22, 2024 and the Company measured the derivative liability at fair value. The option was exercised in March 2022 and the shares are subject to the lock-up provisions. The liability due to the ESG Fund was derecognized as a result of the Business Combination.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Transactions with AeroFlexx</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and December 31, 2024, the Company had $10.5 million and $4.4 million, respectively, of advances to AeroFlexx which is included in Due from related parties in the consolidated balance sheets. The advances have no stated interest or maturity date but are expected to be repaid within a year.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March 24, 2025, the Company issued 578,294 shares of Series C Preferred Stock to settle AeroFlexx’s debt with a related party. The Company considers the stock issuance to be an investment in AeroFlexx of $5.8 million which was recorded in Investments on the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6"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125</w:t>
                      </w:r>
                    </w:p>
                  </w:txbxContent>
                </v:textbox>
                <w10:wrap type="none"/>
              </v:rect>
            </w:pict>
          </mc:Fallback>
        </mc:AlternateContent>
      </w:r>
    </w:p>
    <w:p>
      <w:pPr>
        <w:pStyle w:val="TextBody"/>
        <w:bidi w:val="0"/>
        <w:spacing w:lineRule="auto" w:line="288" w:before="0" w:after="120"/>
        <w:jc w:val="left"/>
        <w:rPr/>
      </w:pPr>
      <w:hyperlink w:anchor="i507f7219d73d42a58f688d408612ee4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0"/>
        <w:jc w:val="center"/>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19. Commitments and Contingencies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PCT Guaranty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April 22, 2020, the Company entered into a guaranty with a counterparty to unconditionally guarantee PCT’s obligation to reimburse a $5.0 million prepayment upon PCT’s failure to meet certain performance thresholds. Performance thresholds include the commission and construction of a plant. The guaranty has no expiration. There was no amounts paid by the Company for both the guaranty or for interest. As of December 31, 2025 and December 31, 2024, there was no principal outstanding under the guaranty.</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Patent Agreement Contingent Fees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2022, the Company entered into two agreements with an MNC to purchase in-process research and development consisting of patents, technology, and knowledge transfer related to cooling technology for critical electronic equipment in a transaction that was determined to be an asset acquisition.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June 30, 2025, Accelsius entered into an amended and restated agreement with the MNC. The amended agreement modifies several terms and notably (a) eliminates revenue-based royalty payments, (b) extends the due dates for fixed installment payments, (c) modifies and reduces the buy-out fee payable to the MNC in lieu of future installment payments upon certain events such as an assignment of the agreement or a capital event (including a change of control or initial public offering), at the option of either the MNC or Accelsius, and (d) eliminates Accelsius’s ability to unilaterally terminate the agreement upon the occurrence of certain events (other than a material breach) and provides the MNC with certain limited information rights related to the equity ownership of Accelsius.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terms of the agreements, the Company is required to make fixed installment payments, as disclosed below, for each year of the agreement through December 31, 2040 (in thousands): </w:t>
      </w:r>
    </w:p>
    <w:tbl>
      <w:tblPr>
        <w:tblW w:w="2047" w:type="dxa"/>
        <w:jc w:val="left"/>
        <w:tblInd w:w="0" w:type="dxa"/>
        <w:tblLayout w:type="fixed"/>
        <w:tblCellMar>
          <w:top w:w="28" w:type="dxa"/>
          <w:left w:w="28" w:type="dxa"/>
          <w:bottom w:w="28" w:type="dxa"/>
          <w:right w:w="28" w:type="dxa"/>
        </w:tblCellMar>
      </w:tblPr>
      <w:tblGrid>
        <w:gridCol w:w="342"/>
        <w:gridCol w:w="300"/>
        <w:gridCol w:w="304"/>
        <w:gridCol w:w="211"/>
        <w:gridCol w:w="736"/>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13,075</w:t>
            </w:r>
            <w:r>
              <w:rPr>
                <w:color w:val="000000"/>
              </w:rPr>
              <w:t>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License and Royalty Commitments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December 12, 2024, the Company entered into a license agreement (the “Technology License”) with a third party to obtain exclusive rights to use certain know-how, patents, and data relating to processes for the gasification of plastic waste (the “Technology”). Ownership of the Technology will transfer to the Company for a fee of $0.5 million contingent upon achievement of a commercial milestone.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incurred a nonrefundable upfront fee of $0.5 million under the Technology License, which was immediately expensed as incurred on December 12, 2024 and presented as an expense in the consolidated statements of operations and comprehensive income (loss) for the period ended December 31, 2024. Additionally, the Company committed to pay a semi-annual fee until ownership transfers or the Technology is no longer licensed, which is accrued on a monthly basis. During the year ended December 31, 2025 and 2024, an immaterial amount was recognized within General and administrative expense in the consolidated statements of operations and comprehensive income (loss).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Technology License, the Company is committed to pay annual royalties based on Refinity related gross sales and licensing revenue starting in 2025. As of December 31, 2025, no royalty payments were made or accrued for under the commitment.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7"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126</w:t>
                      </w:r>
                    </w:p>
                  </w:txbxContent>
                </v:textbox>
                <w10:wrap type="none"/>
              </v:rect>
            </w:pict>
          </mc:Fallback>
        </mc:AlternateContent>
      </w:r>
    </w:p>
    <w:p>
      <w:pPr>
        <w:pStyle w:val="TextBody"/>
        <w:bidi w:val="0"/>
        <w:spacing w:lineRule="auto" w:line="288" w:before="0" w:after="120"/>
        <w:jc w:val="left"/>
        <w:rPr/>
      </w:pPr>
      <w:hyperlink w:anchor="i507f7219d73d42a58f688d408612ee4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0"/>
        <w:jc w:val="center"/>
        <w:rPr/>
      </w:pPr>
      <w:r>
        <w:rPr/>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Framework Agreement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January 22, 2025, Refinity entered into the Framework Agreement (“Framework Agreement”) with a third party to obtain research services focusing on the further development and optimization of the Gasification Technology.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Refinity agreed to pay a minimum fee of €2.0 million for the period beginning January 22, 2025 and ending April 30, 2026 (“Year 1”), and €3.0 million for the period beginning May 1, 2026 and ending April 30, 2027 (“Year 2”); provided that, if the third party is unable to provide all of the services contemplated to be provided during Year 1 due to its resource constrains, any unused portion of the minimum fee for Year 1 will be deferred to Year 2 and added to the Year 2 minimum fee. Expenses for services from contracts under the Framework Agreement are recognized as incurred and are applied to the minimum fee. During the year ended December 31, 2025, Refinity incurred €1.7 million of service expenses toward the Year 1 minimum fee. After currency conversion, Refinity incurred $1.9 million toward the Year 1 minimum fee during the year ended December 31, 2025. Additionally, during the year ended December 31, 2025, Refinity made payments of $2.0 million on costs incurred as a part of the Year 1 minimum fee. </w:t>
      </w:r>
    </w:p>
    <w:p>
      <w:pPr>
        <w:pStyle w:val="TextBody"/>
        <w:bidi w:val="0"/>
        <w:spacing w:before="120" w:after="12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8"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127</w:t>
                      </w:r>
                    </w:p>
                  </w:txbxContent>
                </v:textbox>
                <w10:wrap type="none"/>
              </v:rect>
            </w:pict>
          </mc:Fallback>
        </mc:AlternateContent>
      </w:r>
    </w:p>
    <w:p>
      <w:pPr>
        <w:pStyle w:val="TextBody"/>
        <w:bidi w:val="0"/>
        <w:spacing w:lineRule="auto" w:line="288" w:before="0" w:after="120"/>
        <w:jc w:val="left"/>
        <w:rPr/>
      </w:pPr>
      <w:hyperlink w:anchor="i507f7219d73d42a58f688d408612ee4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0"/>
        <w:jc w:val="center"/>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20. Business Segment Data</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Chief Executive Officer is the Chief Operating Decision Maker (“CODM”) of the Company. The CODM makes operating decisions, allocates resources and assesses performance based on review of historical and potential future product sales, operating expenses, and net income (loss).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Based on the information utilized by the CODM to operate the Company, there is one operating segment and reportable segment, Technology. The Technology segment includes the business activities of Accelsius, a consolidated subsidiary focused on development and manufacture of data center cooling products. Other components of the Company’s consolidated information primarily include operations relating to the original platform business, service activities, Refinity, and equity method investment activities (“Other”).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information about the Company’s Technology segment for the Successor period from October 2, 2024 through December 31, 2024, the Predecessor period from January 1, 2024 through October 1, 2024, and for the Predecessor year ended December 31, 2023. The information includes the significant expense categories and amounts regularly provided to the CODM for the reportable segment, which may reflect a different presentation than amounts presented elsewhere in the consolidated financial statements. Inter-segment transactions are not eliminated from segment results when management considers those transactions in assessing the results of the Technology segment. </w:t>
      </w:r>
    </w:p>
    <w:tbl>
      <w:tblPr>
        <w:tblW w:w="10205" w:type="dxa"/>
        <w:jc w:val="left"/>
        <w:tblInd w:w="0" w:type="dxa"/>
        <w:tblLayout w:type="fixed"/>
        <w:tblCellMar>
          <w:top w:w="28" w:type="dxa"/>
          <w:left w:w="28" w:type="dxa"/>
          <w:bottom w:w="28" w:type="dxa"/>
          <w:right w:w="28" w:type="dxa"/>
        </w:tblCellMar>
      </w:tblPr>
      <w:tblGrid>
        <w:gridCol w:w="930"/>
        <w:gridCol w:w="723"/>
        <w:gridCol w:w="726"/>
        <w:gridCol w:w="268"/>
        <w:gridCol w:w="1124"/>
        <w:gridCol w:w="138"/>
        <w:gridCol w:w="109"/>
        <w:gridCol w:w="109"/>
        <w:gridCol w:w="109"/>
        <w:gridCol w:w="597"/>
        <w:gridCol w:w="1941"/>
        <w:gridCol w:w="308"/>
        <w:gridCol w:w="109"/>
        <w:gridCol w:w="109"/>
        <w:gridCol w:w="109"/>
        <w:gridCol w:w="528"/>
        <w:gridCol w:w="1874"/>
        <w:gridCol w:w="394"/>
      </w:tblGrid>
      <w:tr>
        <w:trPr/>
        <w:tc>
          <w:tcPr>
            <w:tcW w:w="930"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Successor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Predecessor</w:t>
            </w:r>
          </w:p>
        </w:tc>
      </w:tr>
      <w:tr>
        <w:trPr/>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October 2, 2024 through 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January 1, 2024 through October 1, 2024</w:t>
            </w:r>
          </w:p>
        </w:tc>
      </w:tr>
      <w:tr>
        <w:trPr/>
        <w:tc>
          <w:tcPr>
            <w:tcW w:w="2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3"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w:t>
            </w:r>
          </w:p>
        </w:tc>
      </w:tr>
      <w:tr>
        <w:trPr/>
        <w:tc>
          <w:tcPr>
            <w:tcW w:w="2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 from external customers</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1,557</w:t>
            </w: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9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233</w:t>
            </w: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95</w:t>
            </w:r>
            <w:r>
              <w:rPr>
                <w:color w:val="000000"/>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3,752 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Employee costs </w:t>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26,377 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3,933 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8,076 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Facilities, equipment &amp; supplies </w:t>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Outside services </w:t>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3,224 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2,711 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 *</w:t>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(13,571)</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(3,637)</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346,557 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w:t>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1,832 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Expenses</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396,886</w:t>
            </w: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8,991</w:t>
            </w:r>
            <w:r>
              <w:rPr>
                <w:color w:val="000000"/>
              </w:rPr>
              <w:t> </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16,754</w:t>
            </w:r>
            <w:r>
              <w:rPr>
                <w:color w:val="000000"/>
              </w:rPr>
              <w:t> </w:t>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(395,190)</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9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(8,758)</w:t>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8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(16,652)</w:t>
            </w:r>
          </w:p>
        </w:tc>
        <w:tc>
          <w:tcPr>
            <w:tcW w:w="3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Times New Roman;serif" w:hAnsi="Times New Roman;serif"/>
          <w:b w:val="false"/>
          <w:color w:val="000000"/>
          <w:sz w:val="16"/>
        </w:rPr>
      </w:pPr>
      <w:r>
        <w:rPr>
          <w:rFonts w:ascii="Times New Roman;serif" w:hAnsi="Times New Roman;serif"/>
          <w:b w:val="false"/>
          <w:color w:val="000000"/>
          <w:sz w:val="16"/>
        </w:rPr>
        <w:t xml:space="preserve">* Represents depreciation not already included in Cost of sales. </w:t>
      </w:r>
    </w:p>
    <w:p>
      <w:pPr>
        <w:pStyle w:val="TextBody"/>
        <w:bidi w:val="0"/>
        <w:spacing w:lineRule="auto" w:line="288" w:before="0" w:after="60"/>
        <w:jc w:val="both"/>
        <w:rPr>
          <w:rFonts w:ascii="Times New Roman;serif" w:hAnsi="Times New Roman;serif"/>
          <w:b w:val="false"/>
          <w:color w:val="000000"/>
          <w:sz w:val="16"/>
        </w:rPr>
      </w:pPr>
      <w:r>
        <w:rPr>
          <w:rFonts w:ascii="Times New Roman;serif" w:hAnsi="Times New Roman;serif"/>
          <w:b w:val="false"/>
          <w:color w:val="000000"/>
          <w:sz w:val="16"/>
        </w:rPr>
        <w:t>** Other - change in fair value of financial liabilities, loss on conversion of promissory notes, travel and other miscellaneous expenses.</w:t>
      </w:r>
    </w:p>
    <w:p>
      <w:pPr>
        <w:pStyle w:val="TextBody"/>
        <w:bidi w:val="0"/>
        <w:spacing w:before="0" w:after="2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9"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128</w:t>
                      </w:r>
                    </w:p>
                  </w:txbxContent>
                </v:textbox>
                <w10:wrap type="none"/>
              </v:rect>
            </w:pict>
          </mc:Fallback>
        </mc:AlternateContent>
      </w:r>
    </w:p>
    <w:p>
      <w:pPr>
        <w:pStyle w:val="TextBody"/>
        <w:bidi w:val="0"/>
        <w:spacing w:lineRule="auto" w:line="288" w:before="0" w:after="120"/>
        <w:jc w:val="left"/>
        <w:rPr/>
      </w:pPr>
      <w:hyperlink w:anchor="i507f7219d73d42a58f688d408612ee4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0"/>
        <w:jc w:val="center"/>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reconciles the reportable segment to amounts reflected in our consolidated financial statements. </w:t>
      </w:r>
    </w:p>
    <w:tbl>
      <w:tblPr>
        <w:tblW w:w="10205" w:type="dxa"/>
        <w:jc w:val="left"/>
        <w:tblInd w:w="0" w:type="dxa"/>
        <w:tblLayout w:type="fixed"/>
        <w:tblCellMar>
          <w:top w:w="28" w:type="dxa"/>
          <w:left w:w="28" w:type="dxa"/>
          <w:bottom w:w="28" w:type="dxa"/>
          <w:right w:w="28" w:type="dxa"/>
        </w:tblCellMar>
      </w:tblPr>
      <w:tblGrid>
        <w:gridCol w:w="1193"/>
        <w:gridCol w:w="999"/>
        <w:gridCol w:w="1015"/>
        <w:gridCol w:w="255"/>
        <w:gridCol w:w="1060"/>
        <w:gridCol w:w="131"/>
        <w:gridCol w:w="109"/>
        <w:gridCol w:w="109"/>
        <w:gridCol w:w="109"/>
        <w:gridCol w:w="472"/>
        <w:gridCol w:w="1752"/>
        <w:gridCol w:w="243"/>
        <w:gridCol w:w="109"/>
        <w:gridCol w:w="109"/>
        <w:gridCol w:w="109"/>
        <w:gridCol w:w="459"/>
        <w:gridCol w:w="1627"/>
        <w:gridCol w:w="345"/>
      </w:tblGrid>
      <w:tr>
        <w:trPr/>
        <w:tc>
          <w:tcPr>
            <w:tcW w:w="1193"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r>
      <w:tr>
        <w:trPr/>
        <w:tc>
          <w:tcPr>
            <w:tcW w:w="3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Successor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Predecessor</w:t>
            </w:r>
          </w:p>
        </w:tc>
      </w:tr>
      <w:tr>
        <w:trPr/>
        <w:tc>
          <w:tcPr>
            <w:tcW w:w="3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October 2, 2024 through 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January 1, 2024 through October 1, 2024</w:t>
            </w:r>
          </w:p>
        </w:tc>
      </w:tr>
      <w:tr>
        <w:trPr/>
        <w:tc>
          <w:tcPr>
            <w:tcW w:w="320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 of management services provided to Technology</w:t>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Revenues</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2,056</w:t>
            </w: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456</w:t>
            </w:r>
            <w:r>
              <w:rPr>
                <w:color w:val="000000"/>
              </w:rPr>
              <w:t>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6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764</w:t>
            </w:r>
            <w:r>
              <w:rPr>
                <w:color w:val="000000"/>
              </w:rPr>
              <w:t> </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Interest Expense:</w:t>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Elimination of Intercompany Interest</w:t>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Consolidated Interest Expense</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10,234</w:t>
            </w: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1,330</w:t>
            </w:r>
            <w:r>
              <w:rPr>
                <w:color w:val="000000"/>
              </w:rPr>
              <w:t>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6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1,633</w:t>
            </w:r>
            <w:r>
              <w:rPr>
                <w:color w:val="000000"/>
              </w:rPr>
              <w:t> </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Interest Income:</w:t>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Elimination of Intercompany Interest</w:t>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Consolidated Interest Income</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556</w:t>
            </w: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198</w:t>
            </w:r>
            <w:r>
              <w:rPr>
                <w:color w:val="000000"/>
              </w:rPr>
              <w:t>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6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333</w:t>
            </w:r>
            <w:r>
              <w:rPr>
                <w:color w:val="000000"/>
              </w:rPr>
              <w:t> </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Depreciation and Amortization Expense:</w:t>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22,497 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5,455 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Consolidated Depreciation and Amortization Expense</w:t>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22,506</w:t>
            </w:r>
            <w:r>
              <w:rPr>
                <w:color w:val="000000"/>
              </w:rPr>
              <w:t>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7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5,455</w:t>
            </w:r>
            <w:r>
              <w:rPr>
                <w:color w:val="000000"/>
              </w:rPr>
              <w:t>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6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146</w:t>
            </w:r>
            <w:r>
              <w:rPr>
                <w:color w:val="000000"/>
              </w:rPr>
              <w:t> </w:t>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(395,190)</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(8,758)</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(16,652)</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(80,160)</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(61,335)</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(11,546)</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Net Loss</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(475,350)</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(70,093)</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6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(28,198)</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Capital Expenditures:</w:t>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Capital Expenditures</w:t>
            </w:r>
          </w:p>
        </w:tc>
        <w:tc>
          <w:tcPr>
            <w:tcW w:w="25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6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1,417</w:t>
            </w:r>
            <w:r>
              <w:rPr>
                <w:color w:val="000000"/>
              </w:rPr>
              <w:t> </w:t>
            </w:r>
          </w:p>
        </w:tc>
        <w:tc>
          <w:tcPr>
            <w:tcW w:w="1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75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266</w:t>
            </w:r>
            <w:r>
              <w:rPr>
                <w:color w:val="000000"/>
              </w:rPr>
              <w:t> </w:t>
            </w:r>
          </w:p>
        </w:tc>
        <w:tc>
          <w:tcPr>
            <w:tcW w:w="24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59" w:type="dxa"/>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62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736</w:t>
            </w:r>
            <w:r>
              <w:rPr>
                <w:color w:val="000000"/>
              </w:rPr>
              <w:t> </w:t>
            </w:r>
          </w:p>
        </w:tc>
        <w:tc>
          <w:tcPr>
            <w:tcW w:w="34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All long-lived assets are located entirely in the United States of America (USA). Segment assets are not reviewed by the CODM and therefore are not disclosed.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30"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129</w:t>
                      </w:r>
                    </w:p>
                  </w:txbxContent>
                </v:textbox>
                <w10:wrap type="none"/>
              </v:rect>
            </w:pict>
          </mc:Fallback>
        </mc:AlternateContent>
      </w:r>
    </w:p>
    <w:p>
      <w:pPr>
        <w:pStyle w:val="TextBody"/>
        <w:bidi w:val="0"/>
        <w:spacing w:lineRule="auto" w:line="288" w:before="0" w:after="120"/>
        <w:jc w:val="left"/>
        <w:rPr/>
      </w:pPr>
      <w:hyperlink w:anchor="i507f7219d73d42a58f688d408612ee40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9. Changes in and Disagreements with Accountants on Accounting and Financial Disclosure.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9A. Controls and Procedures.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before="0" w:after="0"/>
        <w:jc w:val="left"/>
        <w:rPr/>
      </w:pPr>
      <w:r>
        <w:rPr/>
      </w:r>
    </w:p>
    <w:p>
      <w:pPr>
        <w:pStyle w:val="TextBody"/>
        <w:bidi w:val="0"/>
        <w:spacing w:lineRule="auto" w:line="25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management, including our Chief Executive Officer and Chief Financial Officer, has evaluated the effectiveness of its disclosure controls and procedures, as defined in Rule 13a-15(e) under the Exchange Act, as of December 31, 2025. Based on this evaluation, the Company’s management, including our Chief Executive Officer and Chief Financial Officer, concluded that the Company’s disclosure controls and procedures are effective to ensure that information required to be disclosed in our reports filed or submitted under the Exchange Act is recorded, processed, summarized and reported, within the time periods specified in the SEC’s rules and forms, including ensuring that such information is communicated to our Chief Executive Officer and Chief Financial Officer, as appropriate, to allow timely decisions regarding required disclosure.</w:t>
      </w:r>
    </w:p>
    <w:p>
      <w:pPr>
        <w:pStyle w:val="TextBody"/>
        <w:bidi w:val="0"/>
        <w:spacing w:before="0" w:after="0"/>
        <w:ind w:left="0" w:right="0" w:firstLine="360"/>
        <w:jc w:val="left"/>
        <w:rPr/>
      </w:pPr>
      <w:r>
        <w:rPr/>
      </w:r>
    </w:p>
    <w:p>
      <w:pPr>
        <w:pStyle w:val="TextBody"/>
        <w:bidi w:val="0"/>
        <w:spacing w:lineRule="auto" w:line="25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management, including our Chief Executive Officer and Chief Financial Officer, does not expect that the Company’s disclosure controls and procedures or internal control over financial reporting will prevent all errors and all fraud due to inherent limitations of internal controls. Because of such limitations, there is a risk that material misstatements will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pStyle w:val="TextBody"/>
        <w:bidi w:val="0"/>
        <w:spacing w:before="0" w:after="0"/>
        <w:ind w:left="0" w:right="0" w:firstLine="360"/>
        <w:jc w:val="both"/>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Remediation of Previously Identified Material Weaknesses</w:t>
      </w:r>
    </w:p>
    <w:p>
      <w:pPr>
        <w:pStyle w:val="TextBody"/>
        <w:bidi w:val="0"/>
        <w:spacing w:before="0" w:after="0"/>
        <w:ind w:left="0" w:right="0" w:firstLine="360"/>
        <w:jc w:val="left"/>
        <w:rPr/>
      </w:pPr>
      <w:r>
        <w:rPr/>
      </w:r>
    </w:p>
    <w:p>
      <w:pPr>
        <w:pStyle w:val="TextBody"/>
        <w:bidi w:val="0"/>
        <w:spacing w:lineRule="auto" w:line="25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previously disclosed in Part II, Item 9A, Controls and Procedures of our Annual Report on Form 10-K for the fiscal year ended December 31, 2024, management identified five material weaknesses in the Company’s internal control over financial reporting. </w:t>
      </w:r>
    </w:p>
    <w:p>
      <w:pPr>
        <w:pStyle w:val="TextBody"/>
        <w:bidi w:val="0"/>
        <w:spacing w:before="0" w:after="0"/>
        <w:ind w:left="0" w:right="0" w:firstLine="360"/>
        <w:jc w:val="left"/>
        <w:rPr/>
      </w:pPr>
      <w:r>
        <w:rPr/>
      </w:r>
    </w:p>
    <w:p>
      <w:pPr>
        <w:pStyle w:val="TextBody"/>
        <w:bidi w:val="0"/>
        <w:spacing w:lineRule="auto" w:line="256"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material weaknesses previously identified were as follows:</w:t>
      </w:r>
    </w:p>
    <w:p>
      <w:pPr>
        <w:pStyle w:val="TextBody"/>
        <w:bidi w:val="0"/>
        <w:spacing w:before="0" w:after="0"/>
        <w:ind w:left="0" w:right="0" w:firstLine="360"/>
        <w:jc w:val="left"/>
        <w:rPr/>
      </w:pPr>
      <w:r>
        <w:rPr/>
      </w:r>
    </w:p>
    <w:p>
      <w:pPr>
        <w:pStyle w:val="TextBody"/>
        <w:bidi w:val="0"/>
        <w:spacing w:lineRule="auto" w:line="256" w:before="0" w:after="0"/>
        <w:ind w:left="0" w:right="0" w:hanging="360"/>
        <w:jc w:val="both"/>
        <w:rPr/>
      </w:pPr>
      <w:r>
        <w:rPr>
          <w:color w:val="000000"/>
        </w:rPr>
        <w:t>•</w:t>
      </w:r>
      <w:r>
        <w:rPr>
          <w:rFonts w:ascii="Times New Roman;serif" w:hAnsi="Times New Roman;serif"/>
          <w:b w:val="false"/>
          <w:color w:val="000000"/>
          <w:sz w:val="20"/>
        </w:rPr>
        <w:t xml:space="preserve">Innventure’s system of internal controls over financial reporting failed to prevent or detect material adjustments necessary to appropriately present certain complex and significant unusual transactions in accordance with GAAP due primarily to insufficient staffing of personnel possessing the appropriate accounting and financial reporting knowledge and experience to review and monitor third-party consultants; </w:t>
      </w:r>
    </w:p>
    <w:p>
      <w:pPr>
        <w:pStyle w:val="TextBody"/>
        <w:bidi w:val="0"/>
        <w:spacing w:before="0" w:after="0"/>
        <w:jc w:val="left"/>
        <w:rPr/>
      </w:pPr>
      <w:r>
        <w:rPr/>
      </w:r>
    </w:p>
    <w:p>
      <w:pPr>
        <w:pStyle w:val="TextBody"/>
        <w:bidi w:val="0"/>
        <w:spacing w:lineRule="auto" w:line="256" w:before="0" w:after="0"/>
        <w:ind w:left="0" w:right="0" w:hanging="360"/>
        <w:jc w:val="both"/>
        <w:rPr/>
      </w:pPr>
      <w:r>
        <w:rPr>
          <w:color w:val="000000"/>
        </w:rPr>
        <w:t>•</w:t>
      </w:r>
      <w:r>
        <w:rPr>
          <w:rFonts w:ascii="Times New Roman;serif" w:hAnsi="Times New Roman;serif"/>
          <w:b w:val="false"/>
          <w:color w:val="000000"/>
          <w:sz w:val="20"/>
        </w:rPr>
        <w:t xml:space="preserve">Innventure’s system of internal controls over financial reporting did not include necessary information technology general controls including related to (i) periodic user access reviews, (ii) user provisioning and de-provisioning, (iii) restriction of privileged access and (iv) authentication settings; </w:t>
      </w:r>
    </w:p>
    <w:p>
      <w:pPr>
        <w:pStyle w:val="TextBody"/>
        <w:bidi w:val="0"/>
        <w:spacing w:before="0" w:after="0"/>
        <w:jc w:val="both"/>
        <w:rPr/>
      </w:pPr>
      <w:r>
        <w:rPr/>
      </w:r>
    </w:p>
    <w:p>
      <w:pPr>
        <w:pStyle w:val="TextBody"/>
        <w:bidi w:val="0"/>
        <w:spacing w:lineRule="auto" w:line="256" w:before="0" w:after="0"/>
        <w:ind w:left="0" w:right="0" w:hanging="360"/>
        <w:jc w:val="both"/>
        <w:rPr/>
      </w:pPr>
      <w:r>
        <w:rPr>
          <w:color w:val="000000"/>
        </w:rPr>
        <w:t>•</w:t>
      </w:r>
      <w:r>
        <w:rPr>
          <w:rFonts w:ascii="Times New Roman;serif" w:hAnsi="Times New Roman;serif"/>
          <w:b w:val="false"/>
          <w:color w:val="000000"/>
          <w:sz w:val="20"/>
        </w:rPr>
        <w:t xml:space="preserve">Innventure did not maintain effectively designed and implemented controls over the costing and existence of inventory as of September 30, 2024, including controls over the calculation of such inventory on the weighted average basis; </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Innventure made an error in its assessment of the accounting acquirer in conjunction with the transaction, which resulted in an incorrect conclusion that the transaction was an asset acquisition. Additionally, management’s controls over the forecast prepared for Accelsius was not effective, resulting in an adjusted forecast for purposes of the purchase accounting; </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Innventure did not maintain evidence of control procedures over the periodic reconciliation of significant accounts. This included lack of segregation of duties and lack of review. </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Because of these material weaknesses, our Chief Executive Officer and Chief Financial Officer concluded that the Company’s disclosure controls and procedures and internal control over financial reporting were not effective as of December 31,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31" name="Frame1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130</w:t>
                      </w:r>
                    </w:p>
                  </w:txbxContent>
                </v:textbox>
                <w10:wrap type="none"/>
              </v:rect>
            </w:pict>
          </mc:Fallback>
        </mc:AlternateContent>
      </w:r>
    </w:p>
    <w:p>
      <w:pPr>
        <w:pStyle w:val="TextBody"/>
        <w:bidi w:val="0"/>
        <w:spacing w:lineRule="auto" w:line="288" w:before="0" w:after="120"/>
        <w:jc w:val="left"/>
        <w:rPr/>
      </w:pPr>
      <w:hyperlink w:anchor="i507f7219d73d42a58f688d408612ee40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2025, management implemented new controls to remediate the five material weaknesses. These measures include:</w:t>
      </w:r>
    </w:p>
    <w:p>
      <w:pPr>
        <w:pStyle w:val="TextBody"/>
        <w:bidi w:val="0"/>
        <w:spacing w:before="0" w:after="0"/>
        <w:ind w:left="0" w:right="0" w:firstLine="360"/>
        <w:jc w:val="both"/>
        <w:rPr/>
      </w:pPr>
      <w:r>
        <w:rPr/>
      </w:r>
    </w:p>
    <w:p>
      <w:pPr>
        <w:pStyle w:val="TextBody"/>
        <w:bidi w:val="0"/>
        <w:spacing w:lineRule="auto" w:line="256" w:before="0" w:after="0"/>
        <w:ind w:left="0" w:right="0" w:hanging="360"/>
        <w:jc w:val="both"/>
        <w:rPr/>
      </w:pPr>
      <w:r>
        <w:rPr>
          <w:color w:val="000000"/>
        </w:rPr>
        <w:t>•</w:t>
      </w:r>
      <w:r>
        <w:rPr>
          <w:rFonts w:ascii="Times New Roman;serif" w:hAnsi="Times New Roman;serif"/>
          <w:b w:val="false"/>
          <w:color w:val="000000"/>
          <w:sz w:val="20"/>
        </w:rPr>
        <w:t>Hiring multiple, qualified accounting personnel to review and appropriately present the Company’s complex and significant unusual transactions in accordance with GAAP;</w:t>
      </w:r>
    </w:p>
    <w:p>
      <w:pPr>
        <w:pStyle w:val="TextBody"/>
        <w:bidi w:val="0"/>
        <w:spacing w:before="0" w:after="0"/>
        <w:jc w:val="both"/>
        <w:rPr/>
      </w:pPr>
      <w:r>
        <w:rPr/>
      </w:r>
    </w:p>
    <w:p>
      <w:pPr>
        <w:pStyle w:val="TextBody"/>
        <w:bidi w:val="0"/>
        <w:spacing w:lineRule="auto" w:line="256" w:before="0" w:after="0"/>
        <w:ind w:left="0" w:right="0" w:hanging="360"/>
        <w:jc w:val="both"/>
        <w:rPr/>
      </w:pPr>
      <w:r>
        <w:rPr>
          <w:color w:val="000000"/>
        </w:rPr>
        <w:t>•</w:t>
      </w:r>
      <w:r>
        <w:rPr>
          <w:rFonts w:ascii="Times New Roman;serif" w:hAnsi="Times New Roman;serif"/>
          <w:b w:val="false"/>
          <w:color w:val="000000"/>
          <w:sz w:val="20"/>
        </w:rPr>
        <w:t>Designing and implementing formal controls over its information technology processes (including improved internal and external resources), including with respect to user access and authentication;</w:t>
      </w:r>
    </w:p>
    <w:p>
      <w:pPr>
        <w:pStyle w:val="TextBody"/>
        <w:bidi w:val="0"/>
        <w:spacing w:before="0" w:after="0"/>
        <w:jc w:val="both"/>
        <w:rPr/>
      </w:pPr>
      <w:r>
        <w:rPr/>
      </w:r>
    </w:p>
    <w:p>
      <w:pPr>
        <w:pStyle w:val="TextBody"/>
        <w:bidi w:val="0"/>
        <w:spacing w:lineRule="auto" w:line="256" w:before="0" w:after="0"/>
        <w:ind w:left="0" w:right="0" w:hanging="360"/>
        <w:jc w:val="both"/>
        <w:rPr/>
      </w:pPr>
      <w:r>
        <w:rPr>
          <w:color w:val="000000"/>
        </w:rPr>
        <w:t>•</w:t>
      </w:r>
      <w:r>
        <w:rPr>
          <w:rFonts w:ascii="Times New Roman;serif" w:hAnsi="Times New Roman;serif"/>
          <w:b w:val="false"/>
          <w:color w:val="000000"/>
          <w:sz w:val="20"/>
        </w:rPr>
        <w:t>Establishing appropriate inventory controls and processes to track the costing and existence of inventory; and</w:t>
      </w:r>
    </w:p>
    <w:p>
      <w:pPr>
        <w:pStyle w:val="TextBody"/>
        <w:bidi w:val="0"/>
        <w:spacing w:before="0" w:after="0"/>
        <w:jc w:val="both"/>
        <w:rPr/>
      </w:pPr>
      <w:r>
        <w:rPr/>
      </w:r>
    </w:p>
    <w:p>
      <w:pPr>
        <w:pStyle w:val="TextBody"/>
        <w:bidi w:val="0"/>
        <w:spacing w:lineRule="auto" w:line="256" w:before="0" w:after="0"/>
        <w:ind w:left="0" w:right="0" w:hanging="360"/>
        <w:jc w:val="both"/>
        <w:rPr/>
      </w:pPr>
      <w:r>
        <w:rPr>
          <w:color w:val="000000"/>
        </w:rPr>
        <w:t>•</w:t>
      </w:r>
      <w:r>
        <w:rPr>
          <w:rFonts w:ascii="Times New Roman;serif" w:hAnsi="Times New Roman;serif"/>
          <w:b w:val="false"/>
          <w:color w:val="000000"/>
          <w:sz w:val="20"/>
        </w:rPr>
        <w:t>Hiring multiple personnel and limiting access or reviewing actions pertaining to certain significant accounts so that proper segregation of duties in internal controls over financial reporting is achieved.</w:t>
      </w:r>
    </w:p>
    <w:p>
      <w:pPr>
        <w:pStyle w:val="TextBody"/>
        <w:bidi w:val="0"/>
        <w:spacing w:before="0" w:after="0"/>
        <w:jc w:val="both"/>
        <w:rPr/>
      </w:pPr>
      <w:r>
        <w:rPr/>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quarter ended December 31, 2025, we completed the testing and evaluation of the operating effectiveness of the controls and concluded that the previously reported material weaknesses have been remediated as of December 31, 2025.</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Management’s Annual Report on Internal Control Over Financial Reporting</w:t>
      </w:r>
    </w:p>
    <w:p>
      <w:pPr>
        <w:pStyle w:val="TextBody"/>
        <w:bidi w:val="0"/>
        <w:spacing w:before="0" w:after="0"/>
        <w:jc w:val="both"/>
        <w:rPr/>
      </w:pPr>
      <w:r>
        <w:rPr/>
      </w:r>
    </w:p>
    <w:p>
      <w:pPr>
        <w:pStyle w:val="TextBody"/>
        <w:bidi w:val="0"/>
        <w:spacing w:lineRule="auto" w:line="25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management is responsible for establishing and maintaining adequate internal control over financial reporting, as defined in Rules 13a-15(f) and 15d-15(f) of the Exchange Act. Our internal control over financial reporting is a process designed by, and under the supervision of the Chief Executive Officer and the Chief Financial Officer and effected by the Board of Directors, management and other personnel, to provide reasonable assurance regarding the reliability of financial reporting and the preparation of financial statements for external purposes in accordance with GAAP and includes those policies and procedures that:</w:t>
      </w:r>
    </w:p>
    <w:p>
      <w:pPr>
        <w:pStyle w:val="TextBody"/>
        <w:bidi w:val="0"/>
        <w:spacing w:before="0" w:after="0"/>
        <w:ind w:left="0" w:right="0" w:firstLine="360"/>
        <w:jc w:val="both"/>
        <w:rPr/>
      </w:pPr>
      <w:r>
        <w:rPr/>
      </w:r>
    </w:p>
    <w:p>
      <w:pPr>
        <w:pStyle w:val="TextBody"/>
        <w:bidi w:val="0"/>
        <w:spacing w:lineRule="auto" w:line="256" w:before="0" w:after="0"/>
        <w:ind w:left="0" w:right="0" w:hanging="360"/>
        <w:jc w:val="both"/>
        <w:rPr/>
      </w:pPr>
      <w:r>
        <w:rPr>
          <w:color w:val="000000"/>
        </w:rPr>
        <w:t>•</w:t>
      </w:r>
      <w:r>
        <w:rPr>
          <w:rFonts w:ascii="Times New Roman;serif" w:hAnsi="Times New Roman;serif"/>
          <w:b w:val="false"/>
          <w:color w:val="000000"/>
          <w:sz w:val="20"/>
        </w:rPr>
        <w:t>Pertain to the maintenance of records that in reasonable detail accurately and fairly reflect the transactions and dispositions of the assets of the Company;</w:t>
      </w:r>
    </w:p>
    <w:p>
      <w:pPr>
        <w:pStyle w:val="TextBody"/>
        <w:bidi w:val="0"/>
        <w:spacing w:before="0" w:after="0"/>
        <w:ind w:left="0" w:right="0" w:hanging="360"/>
        <w:jc w:val="both"/>
        <w:rPr/>
      </w:pPr>
      <w:r>
        <w:rPr/>
      </w:r>
    </w:p>
    <w:p>
      <w:pPr>
        <w:pStyle w:val="TextBody"/>
        <w:bidi w:val="0"/>
        <w:spacing w:lineRule="auto" w:line="256" w:before="0" w:after="0"/>
        <w:ind w:left="0" w:right="0" w:hanging="360"/>
        <w:jc w:val="both"/>
        <w:rPr/>
      </w:pPr>
      <w:r>
        <w:rPr>
          <w:color w:val="000000"/>
        </w:rPr>
        <w:t>•</w:t>
      </w:r>
      <w:r>
        <w:rPr>
          <w:rFonts w:ascii="Times New Roman;serif" w:hAnsi="Times New Roman;serif"/>
          <w:b w:val="false"/>
          <w:color w:val="000000"/>
          <w:sz w:val="20"/>
        </w:rPr>
        <w:t>Provide 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w:t>
      </w:r>
    </w:p>
    <w:p>
      <w:pPr>
        <w:pStyle w:val="TextBody"/>
        <w:bidi w:val="0"/>
        <w:spacing w:before="0" w:after="0"/>
        <w:jc w:val="both"/>
        <w:rPr/>
      </w:pPr>
      <w:r>
        <w:rPr/>
      </w:r>
    </w:p>
    <w:p>
      <w:pPr>
        <w:pStyle w:val="TextBody"/>
        <w:bidi w:val="0"/>
        <w:spacing w:lineRule="auto" w:line="256" w:before="0" w:after="0"/>
        <w:ind w:left="0" w:right="0" w:hanging="360"/>
        <w:jc w:val="both"/>
        <w:rPr/>
      </w:pPr>
      <w:r>
        <w:rPr>
          <w:color w:val="000000"/>
        </w:rPr>
        <w:t>•</w:t>
      </w:r>
      <w:r>
        <w:rPr>
          <w:rFonts w:ascii="Times New Roman;serif" w:hAnsi="Times New Roman;serif"/>
          <w:b w:val="false"/>
          <w:color w:val="000000"/>
          <w:sz w:val="20"/>
        </w:rPr>
        <w:t>Provide reasonable assurance regarding prevention or timely detection of unauthorized acquisition, use, or disposition of the Company’s assets that could have a material effect on the financial statements.</w:t>
      </w:r>
    </w:p>
    <w:p>
      <w:pPr>
        <w:pStyle w:val="TextBody"/>
        <w:bidi w:val="0"/>
        <w:spacing w:before="0" w:after="0"/>
        <w:ind w:left="0" w:right="0" w:firstLine="360"/>
        <w:jc w:val="both"/>
        <w:rPr/>
      </w:pPr>
      <w:r>
        <w:rPr/>
      </w:r>
    </w:p>
    <w:p>
      <w:pPr>
        <w:pStyle w:val="TextBody"/>
        <w:bidi w:val="0"/>
        <w:spacing w:lineRule="auto" w:line="25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Because of its inherent limitations, internal control over financial reporting may not prevent or detect misstatements. Our management conducted an evaluation of the effectiveness of our internal control over financial reporting as of December 31, 2025. This evaluation was based on the framework set forth by the Committee of Sponsoring Organizations of the Treadway Commission (COSO) in Internal Control - Integrated Framework (2013). Based on this assessment, our management concluded that our internal control over financial reporting was effective as of December 31, 2025. </w:t>
      </w:r>
    </w:p>
    <w:p>
      <w:pPr>
        <w:pStyle w:val="TextBody"/>
        <w:bidi w:val="0"/>
        <w:spacing w:before="0" w:after="0"/>
        <w:ind w:left="0" w:right="0" w:firstLine="36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Attestation Report of the Registered Public Accounting Firm</w:t>
      </w:r>
    </w:p>
    <w:p>
      <w:pPr>
        <w:pStyle w:val="TextBody"/>
        <w:bidi w:val="0"/>
        <w:spacing w:before="0" w:after="0"/>
        <w:jc w:val="both"/>
        <w:rPr/>
      </w:pPr>
      <w:r>
        <w:rPr/>
      </w:r>
    </w:p>
    <w:p>
      <w:pPr>
        <w:pStyle w:val="TextBody"/>
        <w:bidi w:val="0"/>
        <w:spacing w:lineRule="auto" w:line="25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independent registered public accounting firm is not required to formally attest to the effectiveness of our internal control over financial reporting for as long as we are an “emerging growth company” pursuant to the provisions of the JOBS Act.</w:t>
      </w:r>
    </w:p>
    <w:p>
      <w:pPr>
        <w:pStyle w:val="TextBody"/>
        <w:bidi w:val="0"/>
        <w:spacing w:before="0" w:after="0"/>
        <w:ind w:left="0" w:right="0" w:firstLine="36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before="0" w:after="0"/>
        <w:jc w:val="left"/>
        <w:rPr/>
      </w:pPr>
      <w:r>
        <w:rPr/>
      </w:r>
    </w:p>
    <w:p>
      <w:pPr>
        <w:pStyle w:val="TextBody"/>
        <w:bidi w:val="0"/>
        <w:spacing w:lineRule="auto" w:line="25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than the steps taken to work towards the remediation of the material weaknesses identified above, there were no changes in our internal control over financial reporting during the quarter ended December 31, 2025,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32" name="Frame1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131</w:t>
                      </w:r>
                    </w:p>
                  </w:txbxContent>
                </v:textbox>
                <w10:wrap type="none"/>
              </v:rect>
            </w:pict>
          </mc:Fallback>
        </mc:AlternateContent>
      </w:r>
    </w:p>
    <w:p>
      <w:pPr>
        <w:pStyle w:val="TextBody"/>
        <w:bidi w:val="0"/>
        <w:spacing w:lineRule="auto" w:line="288" w:before="0" w:after="120"/>
        <w:jc w:val="left"/>
        <w:rPr/>
      </w:pPr>
      <w:hyperlink w:anchor="i507f7219d73d42a58f688d408612ee40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9B. Other Information.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Insider Trading Arrangements</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Company’s fiscal quarter ended December 31, 2025, none of the Company’s directors or officers (as defined in Rule 16a-1(f) of the Exchange Act) adopted, terminated or modified a Rule 10b5-1 trading arrangement or a non-Rule 10b5-1 trading arrangement (as such terms are defined in Item 408 of Regulation 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9C. Disclosure Regarding Foreign Jurisdictions that Prevent Inspections.</w:t>
      </w:r>
    </w:p>
    <w:p>
      <w:pPr>
        <w:pStyle w:val="TextBody"/>
        <w:bidi w:val="0"/>
        <w:spacing w:before="0" w:after="0"/>
        <w:jc w:val="left"/>
        <w:rPr/>
      </w:pPr>
      <w:r>
        <w:rPr/>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33" name="Frame1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132</w:t>
                      </w:r>
                    </w:p>
                  </w:txbxContent>
                </v:textbox>
                <w10:wrap type="none"/>
              </v:rect>
            </w:pict>
          </mc:Fallback>
        </mc:AlternateContent>
      </w:r>
    </w:p>
    <w:p>
      <w:pPr>
        <w:pStyle w:val="TextBody"/>
        <w:bidi w:val="0"/>
        <w:spacing w:lineRule="auto" w:line="288" w:before="0" w:after="120"/>
        <w:jc w:val="left"/>
        <w:rPr/>
      </w:pPr>
      <w:hyperlink w:anchor="i507f7219d73d42a58f688d408612ee4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10. Directors, Executive Officers and Corporate Governance.</w:t>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Information about our executive officers is contained in the discussion entitled “Information about our Executive Officers” in Part I of this Form 10-K. The remaining information called for by Item 10 will be included in the Proxy Statement in the sections entitled “Corporate Governance” and “Stock Ownership” and is incorporated herein by reference.</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adopted an Insider Trading Compliance Policy that governs the purchase, sale, and/or other dispositions of our securities by directors, officers, and employees that is reasonably designed to promote compliance with insider trading laws, rules and regulations and NASDAQ listing standards. A copy of our Insider Trading Compliance Policy is filed as Exhibit 19.1 to this report. </w:t>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11. Executive Compensation.</w:t>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information called for by Item 11 will be included in the Proxy Statement in the section entitled “Executive and Director Compensation” and is incorporated herein by reference.</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12. Security Ownership of Certain Beneficial Owners and Management and Related Stockholder Matters.</w:t>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Equity Compensation Plan Information table required pursuant to Item 201(d) of Regulation S-K will be set forth in the Proxy Statement and is incorporated herein by reference. </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Item 403 of Regulation S-K regarding security ownership of certain beneficial owners and management will be set forth under “Stock Ownership” in the 2026 Proxy Statement and is incorporated herein by reference.</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13. Certain Relationships and Related Transactions, and Director Independence.</w:t>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information called for by Item 13 will be included in the Proxy Statement in the sections entitled “Certain Relationships and Related Party Transactions” and “Corporate Governance” and is incorporated herein by reference.</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14. Principal Accountant Fees and Services.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information called for by Item 14 will be included in the Proxy Statement and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34" name="Frame1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133</w:t>
                      </w:r>
                    </w:p>
                  </w:txbxContent>
                </v:textbox>
                <w10:wrap type="none"/>
              </v:rect>
            </w:pict>
          </mc:Fallback>
        </mc:AlternateContent>
      </w:r>
    </w:p>
    <w:p>
      <w:pPr>
        <w:pStyle w:val="TextBody"/>
        <w:bidi w:val="0"/>
        <w:spacing w:lineRule="auto" w:line="288" w:before="0" w:after="120"/>
        <w:jc w:val="left"/>
        <w:rPr/>
      </w:pPr>
      <w:hyperlink w:anchor="i507f7219d73d42a58f688d408612ee4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15. EXHIBITS AND FINANCIAL STATEMENT SCHEDULES</w:t>
      </w:r>
    </w:p>
    <w:p>
      <w:pPr>
        <w:pStyle w:val="TextBody"/>
        <w:bidi w:val="0"/>
        <w:spacing w:lineRule="auto" w:line="268" w:before="0" w:after="240"/>
        <w:jc w:val="both"/>
        <w:rPr>
          <w:rFonts w:ascii="Times New Roman;serif" w:hAnsi="Times New Roman;serif"/>
          <w:b w:val="false"/>
          <w:i/>
          <w:color w:val="000000"/>
          <w:sz w:val="20"/>
        </w:rPr>
      </w:pPr>
      <w:r>
        <w:rPr>
          <w:rFonts w:ascii="Times New Roman;serif" w:hAnsi="Times New Roman;serif"/>
          <w:b w:val="false"/>
          <w:i/>
          <w:color w:val="000000"/>
          <w:sz w:val="20"/>
        </w:rPr>
        <w:t>(a) List of documents filed as part of this Form 10-K:</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1. Financial Statements of the Registrant: See “Index to Consolidated Financial Statements” at “Item 8. Financial Statements and Supplementary Data” herein.</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2. Financial Statement Schedules: All schedules are omitted for the reason that the information is included in the financial statements or the notes thereto or that they are not required or are not applicable.</w:t>
      </w:r>
    </w:p>
    <w:p>
      <w:pPr>
        <w:pStyle w:val="TextBody"/>
        <w:bidi w:val="0"/>
        <w:spacing w:lineRule="auto" w:line="268" w:before="0" w:after="240"/>
        <w:jc w:val="both"/>
        <w:rPr>
          <w:rFonts w:ascii="Times New Roman;serif" w:hAnsi="Times New Roman;serif"/>
          <w:b w:val="false"/>
          <w:i/>
          <w:color w:val="000000"/>
          <w:sz w:val="20"/>
        </w:rPr>
      </w:pPr>
      <w:r>
        <w:rPr>
          <w:rFonts w:ascii="Times New Roman;serif" w:hAnsi="Times New Roman;serif"/>
          <w:b w:val="false"/>
          <w:i/>
          <w:color w:val="000000"/>
          <w:sz w:val="20"/>
        </w:rPr>
        <w:t>(b) Exhibits:</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The exhibits listed in the following index to exhibits are filed or incorporated by reference as part of this Form 10-K.</w:t>
      </w:r>
    </w:p>
    <w:tbl>
      <w:tblPr>
        <w:tblW w:w="10205" w:type="dxa"/>
        <w:jc w:val="left"/>
        <w:tblInd w:w="0" w:type="dxa"/>
        <w:tblLayout w:type="fixed"/>
        <w:tblCellMar>
          <w:top w:w="28" w:type="dxa"/>
          <w:left w:w="28" w:type="dxa"/>
          <w:bottom w:w="28" w:type="dxa"/>
          <w:right w:w="28" w:type="dxa"/>
        </w:tblCellMar>
      </w:tblPr>
      <w:tblGrid>
        <w:gridCol w:w="310"/>
        <w:gridCol w:w="274"/>
        <w:gridCol w:w="275"/>
        <w:gridCol w:w="109"/>
        <w:gridCol w:w="109"/>
        <w:gridCol w:w="109"/>
        <w:gridCol w:w="2926"/>
        <w:gridCol w:w="2522"/>
        <w:gridCol w:w="3571"/>
      </w:tblGrid>
      <w:tr>
        <w:trPr/>
        <w:tc>
          <w:tcPr>
            <w:tcW w:w="31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6" w:type="dxa"/>
            <w:tcBorders/>
            <w:vAlign w:val="center"/>
          </w:tcPr>
          <w:p>
            <w:pPr>
              <w:pStyle w:val="TableContents"/>
              <w:bidi w:val="0"/>
              <w:spacing w:before="0" w:after="283"/>
              <w:jc w:val="left"/>
              <w:rPr>
                <w:sz w:val="4"/>
                <w:szCs w:val="4"/>
              </w:rPr>
            </w:pPr>
            <w:r>
              <w:rPr>
                <w:sz w:val="4"/>
                <w:szCs w:val="4"/>
              </w:rPr>
            </w:r>
          </w:p>
        </w:tc>
        <w:tc>
          <w:tcPr>
            <w:tcW w:w="2522" w:type="dxa"/>
            <w:tcBorders/>
            <w:vAlign w:val="center"/>
          </w:tcPr>
          <w:p>
            <w:pPr>
              <w:pStyle w:val="TableContents"/>
              <w:bidi w:val="0"/>
              <w:spacing w:before="0" w:after="283"/>
              <w:jc w:val="left"/>
              <w:rPr>
                <w:sz w:val="4"/>
                <w:szCs w:val="4"/>
              </w:rPr>
            </w:pPr>
            <w:r>
              <w:rPr>
                <w:sz w:val="4"/>
                <w:szCs w:val="4"/>
              </w:rPr>
            </w:r>
          </w:p>
        </w:tc>
        <w:tc>
          <w:tcPr>
            <w:tcW w:w="3571" w:type="dxa"/>
            <w:tcBorders/>
            <w:vAlign w:val="center"/>
          </w:tcPr>
          <w:p>
            <w:pPr>
              <w:pStyle w:val="TableContents"/>
              <w:bidi w:val="0"/>
              <w:spacing w:before="0" w:after="283"/>
              <w:jc w:val="left"/>
              <w:rPr>
                <w:sz w:val="4"/>
                <w:szCs w:val="4"/>
              </w:rPr>
            </w:pPr>
            <w:r>
              <w:rPr>
                <w:sz w:val="4"/>
                <w:szCs w:val="4"/>
              </w:rPr>
            </w:r>
          </w:p>
        </w:tc>
      </w:tr>
      <w:tr>
        <w:trPr/>
        <w:tc>
          <w:tcPr>
            <w:tcW w:w="8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Description of Exhibits</w:t>
            </w:r>
          </w:p>
        </w:tc>
      </w:tr>
      <w:tr>
        <w:trPr/>
        <w:tc>
          <w:tcPr>
            <w:tcW w:w="8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"https://www.sec.gov/Archives/edgar/data/2001557/000114036124040480/ny20012992x29_s4a.htm" \l "tANNEXA"</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 xml:space="preserve">Business Combination Agreement, dated as of October 24, 2023, by and among Learn SPAC Holdco, Inc., Learn CW Investment Corporation, LCW Merger Sub, Inc., Innventure LLC and Innventure Merger Sub, LLC (incorporated by reference to Annex A to Innventure, Inc.’s Registration Statement on Form S-4 filed with the SEC on September 6, 2024). </w:t>
            </w:r>
            <w:r>
              <w:rPr>
                <w:rStyle w:val="InternetLink"/>
                <w:sz w:val="20"/>
                <w:u w:val="single"/>
                <w:b w:val="false"/>
                <w:rFonts w:ascii="Times New Roman;serif" w:hAnsi="Times New Roman;serif"/>
                <w:color w:val="0000FF"/>
              </w:rPr>
              <w:fldChar w:fldCharType="end"/>
            </w:r>
          </w:p>
        </w:tc>
      </w:tr>
      <w:tr>
        <w:trPr/>
        <w:tc>
          <w:tcPr>
            <w:tcW w:w="8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FF"/>
                  <w:sz w:val="20"/>
                  <w:u w:val="single"/>
                </w:rPr>
                <w:t xml:space="preserve">Amended and Restated Certificate of Incorporation of Innventure, Inc., filed with the Secretary of State of Delaware on October 2, 2024 (incorporated by reference to Exhibit 3.1 to Innventure Inc.’s Current Report on Form 8-K filed with the SEC on October 9, 2024). </w:t>
              </w:r>
            </w:hyperlink>
          </w:p>
        </w:tc>
      </w:tr>
      <w:tr>
        <w:trPr/>
        <w:tc>
          <w:tcPr>
            <w:tcW w:w="8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erif" w:hAnsi="Times New Roman;serif"/>
                  <w:b w:val="false"/>
                  <w:color w:val="0000FF"/>
                  <w:sz w:val="20"/>
                  <w:u w:val="single"/>
                </w:rPr>
                <w:t xml:space="preserve">By-laws of Innventure, Inc. (incorporated by reference to Exhibit 3.2 to Innventure Inc.’s Current Report on Form 8-K filed with the SEC on October 9, 2024). </w:t>
              </w:r>
            </w:hyperlink>
          </w:p>
        </w:tc>
      </w:tr>
      <w:tr>
        <w:trPr/>
        <w:tc>
          <w:tcPr>
            <w:tcW w:w="8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erif" w:hAnsi="Times New Roman;serif"/>
                  <w:b w:val="false"/>
                  <w:color w:val="0000FF"/>
                  <w:sz w:val="20"/>
                  <w:u w:val="single"/>
                </w:rPr>
                <w:t xml:space="preserve">Certificate of Designation of Series B Preferred Stock, dated October 2, 2024, of Innventure, Inc. (incorporated by reference to Exhibit 3.3 to Innventure Inc.’s Current Report on Form 8-K filed with the SEC on October 9, 2024). </w:t>
              </w:r>
            </w:hyperlink>
          </w:p>
        </w:tc>
      </w:tr>
      <w:tr>
        <w:trPr/>
        <w:tc>
          <w:tcPr>
            <w:tcW w:w="8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Times New Roman;serif" w:hAnsi="Times New Roman;serif"/>
                  <w:b w:val="false"/>
                  <w:color w:val="0000FF"/>
                  <w:sz w:val="20"/>
                  <w:u w:val="single"/>
                </w:rPr>
                <w:t>Certificate of Designation of Series C Preferred Stock, dated March 24, 2025, of Innventure, Inc. (incorporated by reference to Exhibit 3.1 to Innventure Inc.’s Current Report on Form 8-K filed with the SEC on March 25, 2025).</w:t>
              </w:r>
            </w:hyperlink>
          </w:p>
        </w:tc>
      </w:tr>
      <w:tr>
        <w:trPr/>
        <w:tc>
          <w:tcPr>
            <w:tcW w:w="8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Times New Roman;serif" w:hAnsi="Times New Roman;serif"/>
                  <w:b w:val="false"/>
                  <w:color w:val="000080"/>
                  <w:sz w:val="20"/>
                  <w:u w:val="single"/>
                </w:rPr>
                <w:t>Description of Innventure, Inc.’s Securities Registered Pursuant to Section 12 of the Securities Exchange Act of 1934 (incorporated by reference to Exhibit 4.1 to Innventure, Inc.’s Annual Report on Form 10-K for the year ended December 31, 2024)</w:t>
              </w:r>
            </w:hyperlink>
            <w:hyperlink r:id="rId8">
              <w:r>
                <w:rPr>
                  <w:rStyle w:val="InternetLink"/>
                  <w:rFonts w:ascii="Times New Roman;serif" w:hAnsi="Times New Roman;serif"/>
                  <w:b w:val="false"/>
                  <w:color w:val="000080"/>
                  <w:sz w:val="20"/>
                  <w:u w:val="single"/>
                </w:rPr>
                <w:t>.</w:t>
              </w:r>
            </w:hyperlink>
          </w:p>
        </w:tc>
      </w:tr>
      <w:tr>
        <w:trPr/>
        <w:tc>
          <w:tcPr>
            <w:tcW w:w="8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9">
              <w:r>
                <w:rPr>
                  <w:rStyle w:val="InternetLink"/>
                  <w:rFonts w:ascii="Times New Roman;serif" w:hAnsi="Times New Roman;serif"/>
                  <w:b w:val="false"/>
                  <w:color w:val="0000FF"/>
                  <w:sz w:val="20"/>
                  <w:u w:val="single"/>
                </w:rPr>
                <w:t xml:space="preserve">Form of Innventure LLC Series 1 Promissory Note (incorporated by reference to Exhibit 4.3 to Innventure, Inc.’s Registration Statement on Form S-4 filed with the SEC on September 6, 2024). </w:t>
              </w:r>
            </w:hyperlink>
          </w:p>
        </w:tc>
      </w:tr>
      <w:tr>
        <w:trPr/>
        <w:tc>
          <w:tcPr>
            <w:tcW w:w="8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10">
              <w:r>
                <w:rPr>
                  <w:rStyle w:val="InternetLink"/>
                  <w:rFonts w:ascii="Times New Roman;serif" w:hAnsi="Times New Roman;serif"/>
                  <w:b w:val="false"/>
                  <w:color w:val="0000FF"/>
                  <w:sz w:val="20"/>
                  <w:u w:val="single"/>
                </w:rPr>
                <w:t>Form of Accelsius Holdings LLC Convertible Promissory Note (incorporated by reference to Exhibit 4.4 to Innventure, Inc.’s Registration Statement on Form S-4 filed with the SEC on September 6, 2024).</w:t>
              </w:r>
            </w:hyperlink>
          </w:p>
        </w:tc>
      </w:tr>
      <w:tr>
        <w:trPr/>
        <w:tc>
          <w:tcPr>
            <w:tcW w:w="8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11">
              <w:r>
                <w:rPr>
                  <w:rStyle w:val="InternetLink"/>
                  <w:rFonts w:ascii="Times New Roman;serif" w:hAnsi="Times New Roman;serif"/>
                  <w:b w:val="false"/>
                  <w:color w:val="0000FF"/>
                  <w:sz w:val="20"/>
                  <w:u w:val="single"/>
                </w:rPr>
                <w:t xml:space="preserve">Secured Convertible Note and Warrant Purchase Agreement, dated as of June 3, 2021, by and among Innventus ESG Fund I, L.P., AeroFlexx, LLC, and the Investors party thereto (incorporated by reference to Exhibit 4.5 to Innventure, Inc.’s Registration Statement on Form S-4 filed with the SEC on September 6, 2024). </w:t>
              </w:r>
            </w:hyperlink>
          </w:p>
        </w:tc>
      </w:tr>
      <w:tr>
        <w:trPr/>
        <w:tc>
          <w:tcPr>
            <w:tcW w:w="8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12">
              <w:r>
                <w:rPr>
                  <w:rStyle w:val="InternetLink"/>
                  <w:rFonts w:ascii="Times New Roman;serif" w:hAnsi="Times New Roman;serif"/>
                  <w:b w:val="false"/>
                  <w:color w:val="0000FF"/>
                  <w:sz w:val="20"/>
                  <w:u w:val="single"/>
                </w:rPr>
                <w:t xml:space="preserve">Amended and Restated Secured Convertible Promissory Note and Warrant Purchase Agreement, dated as of July 31, 2021, by and among Innventus ESG Fund I, L.P., AeroFlexx, LLC, and the Investors party thereto (incorporated by reference to Exhibit 4.6 to Innventure, Inc.’s Registration Statement on Form S-4 filed with the SEC on September 6, 2024). </w:t>
              </w:r>
            </w:hyperlink>
          </w:p>
        </w:tc>
      </w:tr>
      <w:tr>
        <w:trPr/>
        <w:tc>
          <w:tcPr>
            <w:tcW w:w="8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13">
              <w:r>
                <w:rPr>
                  <w:rStyle w:val="InternetLink"/>
                  <w:rFonts w:ascii="Times New Roman;serif" w:hAnsi="Times New Roman;serif"/>
                  <w:b w:val="false"/>
                  <w:color w:val="0000FF"/>
                  <w:sz w:val="20"/>
                  <w:u w:val="single"/>
                </w:rPr>
                <w:t>Form of Innventure Class B Warrant Cashless Exercise Description and Acknowledgment Letter (incorporated by reference to Exhibit 4.8 to Innventure, Inc.’s Registration Statement on Form S-4 filed with the SEC on September 6, 2024).</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35" name="Frame1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134</w:t>
                      </w:r>
                    </w:p>
                  </w:txbxContent>
                </v:textbox>
                <w10:wrap type="none"/>
              </v:rect>
            </w:pict>
          </mc:Fallback>
        </mc:AlternateContent>
      </w:r>
    </w:p>
    <w:p>
      <w:pPr>
        <w:pStyle w:val="TextBody"/>
        <w:bidi w:val="0"/>
        <w:spacing w:lineRule="auto" w:line="288" w:before="0" w:after="0"/>
        <w:jc w:val="left"/>
        <w:rPr/>
      </w:pPr>
      <w:hyperlink w:anchor="i507f7219d73d42a58f688d408612ee40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15"/>
        <w:gridCol w:w="278"/>
        <w:gridCol w:w="279"/>
        <w:gridCol w:w="109"/>
        <w:gridCol w:w="109"/>
        <w:gridCol w:w="109"/>
        <w:gridCol w:w="2771"/>
        <w:gridCol w:w="2581"/>
        <w:gridCol w:w="3654"/>
      </w:tblGrid>
      <w:tr>
        <w:trPr/>
        <w:tc>
          <w:tcPr>
            <w:tcW w:w="31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c>
          <w:tcPr>
            <w:tcW w:w="3654" w:type="dxa"/>
            <w:tcBorders/>
            <w:vAlign w:val="center"/>
          </w:tcPr>
          <w:p>
            <w:pPr>
              <w:pStyle w:val="TableContents"/>
              <w:bidi w:val="0"/>
              <w:spacing w:before="0" w:after="283"/>
              <w:jc w:val="left"/>
              <w:rPr>
                <w:sz w:val="4"/>
                <w:szCs w:val="4"/>
              </w:rPr>
            </w:pPr>
            <w:r>
              <w:rPr>
                <w:sz w:val="4"/>
                <w:szCs w:val="4"/>
              </w:rPr>
            </w:r>
          </w:p>
        </w:tc>
      </w:tr>
      <w:tr>
        <w:trPr/>
        <w:tc>
          <w:tcPr>
            <w:tcW w:w="8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Description of Exhibits</w:t>
            </w:r>
          </w:p>
        </w:tc>
      </w:tr>
      <w:tr>
        <w:trPr/>
        <w:tc>
          <w:tcPr>
            <w:tcW w:w="8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14">
              <w:r>
                <w:rPr>
                  <w:rStyle w:val="InternetLink"/>
                  <w:rFonts w:ascii="Times New Roman;serif" w:hAnsi="Times New Roman;serif"/>
                  <w:b w:val="false"/>
                  <w:color w:val="0000FF"/>
                  <w:sz w:val="20"/>
                  <w:u w:val="single"/>
                </w:rPr>
                <w:t>Warrant to Acquire Securities of Innventure, Inc., dated October 22, 2024, issued to WTI Fund X, LLC (incorporated by reference to Exhibit 4.1 to Innventure, Inc.’s Current Report on Form 8-K dated October 23, 2024).</w:t>
              </w:r>
            </w:hyperlink>
          </w:p>
        </w:tc>
      </w:tr>
      <w:tr>
        <w:trPr/>
        <w:tc>
          <w:tcPr>
            <w:tcW w:w="8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15">
              <w:r>
                <w:rPr>
                  <w:rStyle w:val="InternetLink"/>
                  <w:rFonts w:ascii="Times New Roman;serif" w:hAnsi="Times New Roman;serif"/>
                  <w:b w:val="false"/>
                  <w:color w:val="0000FF"/>
                  <w:sz w:val="20"/>
                  <w:u w:val="single"/>
                </w:rPr>
                <w:t>Warrant to Acquire Securities of Innventure, Inc., dated October 22, 2024, issued to WTI Fund XI, LLC (incorporated by reference to Exhibit 4.2 to Innventure, Inc.’s Current Report on Form 8-K dated October 23, 2024).</w:t>
              </w:r>
            </w:hyperlink>
          </w:p>
        </w:tc>
      </w:tr>
      <w:tr>
        <w:trPr/>
        <w:tc>
          <w:tcPr>
            <w:tcW w:w="8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16">
              <w:r>
                <w:rPr>
                  <w:rStyle w:val="InternetLink"/>
                  <w:rFonts w:ascii="Times New Roman;serif" w:hAnsi="Times New Roman;serif"/>
                  <w:b w:val="false"/>
                  <w:color w:val="0000FF"/>
                  <w:sz w:val="20"/>
                  <w:u w:val="single"/>
                </w:rPr>
                <w:t>Registration and Shareholder Rights Agreement, dated October 12, 2021, by and among Learn CW Investment Corporation, the Sponsor and certain other security holders named therein (incorporated by reference to Exhibit 10.4 to Learn CW Investment Corporation’s Current Report on Form 8-K filed with the SEC on October 14, 2021).</w:t>
              </w:r>
            </w:hyperlink>
          </w:p>
        </w:tc>
      </w:tr>
      <w:tr>
        <w:trPr/>
        <w:tc>
          <w:tcPr>
            <w:tcW w:w="8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17">
              <w:r>
                <w:rPr>
                  <w:rStyle w:val="InternetLink"/>
                  <w:rFonts w:ascii="Times New Roman;serif" w:hAnsi="Times New Roman;serif"/>
                  <w:b w:val="false"/>
                  <w:color w:val="000080"/>
                  <w:sz w:val="20"/>
                  <w:u w:val="single"/>
                </w:rPr>
                <w:t>Warrant to Acquire Securities of Innventure, Inc., issued to WTI Fund X, LLC on April 14, 2025 (incorporated by reference to Exhibit</w:t>
              </w:r>
            </w:hyperlink>
            <w:hyperlink r:id="rId18">
              <w:r>
                <w:rPr>
                  <w:rStyle w:val="InternetLink"/>
                  <w:rFonts w:ascii="Times New Roman;serif" w:hAnsi="Times New Roman;serif"/>
                  <w:b w:val="false"/>
                  <w:color w:val="000080"/>
                  <w:sz w:val="20"/>
                  <w:u w:val="single"/>
                </w:rPr>
                <w:t xml:space="preserve"> </w:t>
              </w:r>
            </w:hyperlink>
            <w:hyperlink r:id="rId19">
              <w:r>
                <w:rPr>
                  <w:rStyle w:val="InternetLink"/>
                  <w:rFonts w:ascii="Times New Roman;serif" w:hAnsi="Times New Roman;serif"/>
                  <w:b w:val="false"/>
                  <w:color w:val="000080"/>
                  <w:sz w:val="20"/>
                  <w:u w:val="single"/>
                </w:rPr>
                <w:t xml:space="preserve">4.2 to Innventure, Inc.’s Current Report on Form 8-K </w:t>
              </w:r>
            </w:hyperlink>
            <w:hyperlink r:id="rId20">
              <w:r>
                <w:rPr>
                  <w:rStyle w:val="InternetLink"/>
                  <w:rFonts w:ascii="Times New Roman;serif" w:hAnsi="Times New Roman;serif"/>
                  <w:b w:val="false"/>
                  <w:color w:val="000080"/>
                  <w:sz w:val="20"/>
                  <w:u w:val="single"/>
                </w:rPr>
                <w:t>filed with the SEC on</w:t>
              </w:r>
            </w:hyperlink>
            <w:hyperlink r:id="rId21">
              <w:r>
                <w:rPr>
                  <w:rStyle w:val="InternetLink"/>
                  <w:rFonts w:ascii="Times New Roman;serif" w:hAnsi="Times New Roman;serif"/>
                  <w:b w:val="false"/>
                  <w:color w:val="000080"/>
                  <w:sz w:val="20"/>
                  <w:u w:val="single"/>
                </w:rPr>
                <w:t xml:space="preserve"> April 14, 2025).</w:t>
              </w:r>
            </w:hyperlink>
          </w:p>
        </w:tc>
      </w:tr>
      <w:tr>
        <w:trPr/>
        <w:tc>
          <w:tcPr>
            <w:tcW w:w="8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22">
              <w:r>
                <w:rPr>
                  <w:rStyle w:val="InternetLink"/>
                  <w:rFonts w:ascii="Times New Roman;serif" w:hAnsi="Times New Roman;serif"/>
                  <w:b w:val="false"/>
                  <w:color w:val="000080"/>
                  <w:sz w:val="20"/>
                  <w:u w:val="single"/>
                </w:rPr>
                <w:t>Warrant to Acquire Securities of Innventure, Inc., issued to WTI Fund XI, LLC on April 14, 2025 incorporated by reference to Exhibit</w:t>
              </w:r>
            </w:hyperlink>
            <w:hyperlink r:id="rId23">
              <w:r>
                <w:rPr>
                  <w:rStyle w:val="InternetLink"/>
                  <w:rFonts w:ascii="Times New Roman;serif" w:hAnsi="Times New Roman;serif"/>
                  <w:b w:val="false"/>
                  <w:color w:val="000080"/>
                  <w:sz w:val="20"/>
                  <w:u w:val="single"/>
                </w:rPr>
                <w:t xml:space="preserve"> </w:t>
              </w:r>
            </w:hyperlink>
            <w:hyperlink r:id="rId24">
              <w:r>
                <w:rPr>
                  <w:rStyle w:val="InternetLink"/>
                  <w:rFonts w:ascii="Times New Roman;serif" w:hAnsi="Times New Roman;serif"/>
                  <w:b w:val="false"/>
                  <w:color w:val="000080"/>
                  <w:sz w:val="20"/>
                  <w:u w:val="single"/>
                </w:rPr>
                <w:t xml:space="preserve">4.3 to Innventure, Inc.’s Current Report on Form 8-K </w:t>
              </w:r>
            </w:hyperlink>
            <w:hyperlink r:id="rId25">
              <w:r>
                <w:rPr>
                  <w:rStyle w:val="InternetLink"/>
                  <w:rFonts w:ascii="Times New Roman;serif" w:hAnsi="Times New Roman;serif"/>
                  <w:b w:val="false"/>
                  <w:color w:val="000080"/>
                  <w:sz w:val="20"/>
                  <w:u w:val="single"/>
                </w:rPr>
                <w:t>filed with the SEC on</w:t>
              </w:r>
            </w:hyperlink>
            <w:hyperlink r:id="rId26">
              <w:r>
                <w:rPr>
                  <w:rStyle w:val="InternetLink"/>
                  <w:rFonts w:ascii="Times New Roman;serif" w:hAnsi="Times New Roman;serif"/>
                  <w:b w:val="false"/>
                  <w:color w:val="000080"/>
                  <w:sz w:val="20"/>
                  <w:u w:val="single"/>
                </w:rPr>
                <w:t xml:space="preserve"> April 14, 2025).</w:t>
              </w:r>
            </w:hyperlink>
          </w:p>
        </w:tc>
      </w:tr>
      <w:tr>
        <w:trPr/>
        <w:tc>
          <w:tcPr>
            <w:tcW w:w="8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27">
              <w:r>
                <w:rPr>
                  <w:rStyle w:val="InternetLink"/>
                  <w:rFonts w:ascii="Times New Roman;serif" w:hAnsi="Times New Roman;serif"/>
                  <w:b w:val="false"/>
                  <w:color w:val="000080"/>
                  <w:sz w:val="20"/>
                  <w:u w:val="single"/>
                </w:rPr>
                <w:t>F</w:t>
              </w:r>
            </w:hyperlink>
            <w:hyperlink r:id="rId28">
              <w:r>
                <w:rPr>
                  <w:rStyle w:val="InternetLink"/>
                  <w:rFonts w:ascii="Times New Roman;serif" w:hAnsi="Times New Roman;serif"/>
                  <w:b w:val="false"/>
                  <w:color w:val="000080"/>
                  <w:sz w:val="20"/>
                  <w:u w:val="single"/>
                </w:rPr>
                <w:t>orm of Series A Warrant (incorporated by referenc</w:t>
              </w:r>
            </w:hyperlink>
            <w:hyperlink r:id="rId29">
              <w:r>
                <w:rPr>
                  <w:rStyle w:val="InternetLink"/>
                  <w:rFonts w:ascii="Times New Roman;serif" w:hAnsi="Times New Roman;serif"/>
                  <w:b w:val="false"/>
                  <w:color w:val="000080"/>
                  <w:sz w:val="20"/>
                  <w:u w:val="single"/>
                </w:rPr>
                <w:t xml:space="preserve">e to </w:t>
              </w:r>
            </w:hyperlink>
            <w:hyperlink r:id="rId30">
              <w:r>
                <w:rPr>
                  <w:rStyle w:val="InternetLink"/>
                  <w:rFonts w:ascii="Times New Roman;serif" w:hAnsi="Times New Roman;serif"/>
                  <w:b w:val="false"/>
                  <w:color w:val="000080"/>
                  <w:sz w:val="20"/>
                  <w:u w:val="single"/>
                </w:rPr>
                <w:t>E</w:t>
              </w:r>
            </w:hyperlink>
            <w:hyperlink r:id="rId31">
              <w:r>
                <w:rPr>
                  <w:rStyle w:val="InternetLink"/>
                  <w:rFonts w:ascii="Times New Roman;serif" w:hAnsi="Times New Roman;serif"/>
                  <w:b w:val="false"/>
                  <w:color w:val="000080"/>
                  <w:sz w:val="20"/>
                  <w:u w:val="single"/>
                </w:rPr>
                <w:t>xhibit 4.1 to Innventure</w:t>
              </w:r>
            </w:hyperlink>
            <w:hyperlink r:id="rId32">
              <w:r>
                <w:rPr>
                  <w:rStyle w:val="InternetLink"/>
                  <w:rFonts w:ascii="Times New Roman;serif" w:hAnsi="Times New Roman;serif"/>
                  <w:b w:val="false"/>
                  <w:color w:val="000080"/>
                  <w:sz w:val="20"/>
                  <w:u w:val="single"/>
                </w:rPr>
                <w:t>, Inc.</w:t>
              </w:r>
            </w:hyperlink>
            <w:hyperlink r:id="rId33">
              <w:r>
                <w:rPr>
                  <w:rStyle w:val="InternetLink"/>
                  <w:rFonts w:ascii="Times New Roman;serif" w:hAnsi="Times New Roman;serif"/>
                  <w:b w:val="false"/>
                  <w:color w:val="000080"/>
                  <w:sz w:val="20"/>
                  <w:u w:val="single"/>
                </w:rPr>
                <w:t>’</w:t>
              </w:r>
            </w:hyperlink>
            <w:hyperlink r:id="rId34">
              <w:r>
                <w:rPr>
                  <w:rStyle w:val="InternetLink"/>
                  <w:rFonts w:ascii="Times New Roman;serif" w:hAnsi="Times New Roman;serif"/>
                  <w:b w:val="false"/>
                  <w:color w:val="000080"/>
                  <w:sz w:val="20"/>
                  <w:u w:val="single"/>
                </w:rPr>
                <w:t xml:space="preserve">s Current Report on Form 8-K </w:t>
              </w:r>
            </w:hyperlink>
            <w:hyperlink r:id="rId35">
              <w:r>
                <w:rPr>
                  <w:rStyle w:val="InternetLink"/>
                  <w:rFonts w:ascii="Times New Roman;serif" w:hAnsi="Times New Roman;serif"/>
                  <w:b w:val="false"/>
                  <w:color w:val="000080"/>
                  <w:sz w:val="20"/>
                  <w:u w:val="single"/>
                </w:rPr>
                <w:t>filed with the SEC on</w:t>
              </w:r>
            </w:hyperlink>
            <w:hyperlink r:id="rId36">
              <w:r>
                <w:rPr>
                  <w:rStyle w:val="InternetLink"/>
                  <w:rFonts w:ascii="Times New Roman;serif" w:hAnsi="Times New Roman;serif"/>
                  <w:b w:val="false"/>
                  <w:color w:val="000080"/>
                  <w:sz w:val="20"/>
                  <w:u w:val="single"/>
                </w:rPr>
                <w:t xml:space="preserve"> October </w:t>
              </w:r>
            </w:hyperlink>
            <w:hyperlink r:id="rId37">
              <w:r>
                <w:rPr>
                  <w:rStyle w:val="InternetLink"/>
                  <w:rFonts w:ascii="Times New Roman;serif" w:hAnsi="Times New Roman;serif"/>
                  <w:b w:val="false"/>
                  <w:color w:val="000080"/>
                  <w:sz w:val="20"/>
                  <w:u w:val="single"/>
                </w:rPr>
                <w:t>6</w:t>
              </w:r>
            </w:hyperlink>
            <w:hyperlink r:id="rId38">
              <w:r>
                <w:rPr>
                  <w:rStyle w:val="InternetLink"/>
                  <w:rFonts w:ascii="Times New Roman;serif" w:hAnsi="Times New Roman;serif"/>
                  <w:b w:val="false"/>
                  <w:color w:val="000080"/>
                  <w:sz w:val="20"/>
                  <w:u w:val="single"/>
                </w:rPr>
                <w:t>, 2025)</w:t>
              </w:r>
            </w:hyperlink>
            <w:hyperlink r:id="rId39">
              <w:r>
                <w:rPr>
                  <w:rStyle w:val="InternetLink"/>
                  <w:rFonts w:ascii="Times New Roman;serif" w:hAnsi="Times New Roman;serif"/>
                  <w:b w:val="false"/>
                  <w:color w:val="000080"/>
                  <w:sz w:val="20"/>
                  <w:u w:val="single"/>
                </w:rPr>
                <w:t>.</w:t>
              </w:r>
            </w:hyperlink>
          </w:p>
        </w:tc>
      </w:tr>
      <w:tr>
        <w:trPr/>
        <w:tc>
          <w:tcPr>
            <w:tcW w:w="8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40">
              <w:r>
                <w:rPr>
                  <w:rStyle w:val="InternetLink"/>
                  <w:rFonts w:ascii="Times New Roman;serif" w:hAnsi="Times New Roman;serif"/>
                  <w:b w:val="false"/>
                  <w:color w:val="0000FF"/>
                  <w:sz w:val="20"/>
                  <w:u w:val="single"/>
                </w:rPr>
                <w:t>Offer Letter, dated September 7, 2023, between David Yablunosky and Innventure LLC (incorporated by reference to Exhibit 10.8 to Innventure, Inc.’s Registration Statement on Form S-4 filed with the SEC on September 6, 2024).</w:t>
              </w:r>
            </w:hyperlink>
          </w:p>
        </w:tc>
      </w:tr>
      <w:tr>
        <w:trPr/>
        <w:tc>
          <w:tcPr>
            <w:tcW w:w="8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41">
              <w:r>
                <w:rPr>
                  <w:rStyle w:val="InternetLink"/>
                  <w:rFonts w:ascii="Times New Roman;serif" w:hAnsi="Times New Roman;serif"/>
                  <w:b w:val="false"/>
                  <w:color w:val="0000FF"/>
                  <w:sz w:val="20"/>
                  <w:u w:val="single"/>
                </w:rPr>
                <w:t xml:space="preserve">Class D Preferred Unit Purchase Agreement, by and between Innventus ESG, AeroFlexx, and the Investors party thereto, dated as of November 10, 2021 (incorporated by reference to Exhibit 10.12 to Innventure, Inc.’s Registration Statement on Form S-4 filed with the SEC on September 6, 2024). </w:t>
              </w:r>
            </w:hyperlink>
          </w:p>
        </w:tc>
      </w:tr>
      <w:tr>
        <w:trPr/>
        <w:tc>
          <w:tcPr>
            <w:tcW w:w="8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42">
              <w:r>
                <w:rPr>
                  <w:rStyle w:val="InternetLink"/>
                  <w:rFonts w:ascii="Times New Roman;serif" w:hAnsi="Times New Roman;serif"/>
                  <w:b w:val="false"/>
                  <w:color w:val="0000FF"/>
                  <w:sz w:val="20"/>
                  <w:u w:val="single"/>
                </w:rPr>
                <w:t>Series I Convertible Note Purchase Agreement, dated as of August 18, 2022, by and among Accelsius, Innventus ESG Fund I L.P. and the other parties thereto (incorporated by reference to Exhibit 10.13 to Innventure, Inc.’s Registration Statement on Form S-4 filed with the SEC on September 6, 2024).</w:t>
              </w:r>
            </w:hyperlink>
          </w:p>
        </w:tc>
      </w:tr>
      <w:tr>
        <w:trPr/>
        <w:tc>
          <w:tcPr>
            <w:tcW w:w="8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43">
              <w:r>
                <w:rPr>
                  <w:rStyle w:val="InternetLink"/>
                  <w:rFonts w:ascii="Times New Roman;serif" w:hAnsi="Times New Roman;serif"/>
                  <w:b w:val="false"/>
                  <w:color w:val="0000FF"/>
                  <w:sz w:val="20"/>
                  <w:u w:val="single"/>
                </w:rPr>
                <w:t>Amended and Restated Series I Convertible Note Purchase Agreement, dated as of June 2, 2023, by and among Accelsius, Innventus ESG Fund I L.P. and the other parties thereto (incorporated by reference to Exhibit 10.14 to Innventure, Inc.’s Registration Statement on Form S-4 filed with the SEC on September 6, 2024).</w:t>
              </w:r>
            </w:hyperlink>
          </w:p>
        </w:tc>
      </w:tr>
      <w:tr>
        <w:trPr/>
        <w:tc>
          <w:tcPr>
            <w:tcW w:w="8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44">
              <w:r>
                <w:rPr>
                  <w:rStyle w:val="InternetLink"/>
                  <w:rFonts w:ascii="Times New Roman;serif" w:hAnsi="Times New Roman;serif"/>
                  <w:b w:val="false"/>
                  <w:color w:val="0000FF"/>
                  <w:sz w:val="20"/>
                  <w:u w:val="single"/>
                </w:rPr>
                <w:t>Class A Series 2 Unit Purchase Agreement, dated as of July 19, 2022, by and among Innventus ESG Fund I, L.P., Accelsius Holdings LLC, and the Investors party thereto (incorporated by reference to Exhibit 10.15 to Innventure, Inc.’s Registration Statement on Form S-4 filed with the SEC on September 6, 2024).</w:t>
              </w:r>
            </w:hyperlink>
          </w:p>
        </w:tc>
      </w:tr>
      <w:tr>
        <w:trPr/>
        <w:tc>
          <w:tcPr>
            <w:tcW w:w="8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45">
              <w:r>
                <w:rPr>
                  <w:rStyle w:val="InternetLink"/>
                  <w:rFonts w:ascii="Times New Roman;serif" w:hAnsi="Times New Roman;serif"/>
                  <w:b w:val="false"/>
                  <w:color w:val="0000FF"/>
                  <w:sz w:val="20"/>
                  <w:u w:val="single"/>
                </w:rPr>
                <w:t xml:space="preserve">Management Services Agreement, dated January 22, 2021, by and between Innventure LLC and L1FE Management Limited (incorporated by reference to Exhibit 10.25 to Innventure, Inc.’s Registration Statement on Form S-4 filed with the SEC on September 6, 2024). </w:t>
              </w:r>
            </w:hyperlink>
          </w:p>
        </w:tc>
      </w:tr>
      <w:tr>
        <w:trPr/>
        <w:tc>
          <w:tcPr>
            <w:tcW w:w="8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46">
              <w:r>
                <w:rPr>
                  <w:rStyle w:val="InternetLink"/>
                  <w:rFonts w:ascii="Times New Roman;serif" w:hAnsi="Times New Roman;serif"/>
                  <w:b w:val="false"/>
                  <w:color w:val="0000FF"/>
                  <w:sz w:val="20"/>
                  <w:u w:val="single"/>
                </w:rPr>
                <w:t xml:space="preserve">Amendment to Management Services Agreement, dated October 1, 2021, by and between Innventure LLC and L1FE Management Limited (incorporated by reference to Exhibit 10.26 to Innventure, Inc.’s Registration Statement on Form S-4 filed with the SEC on September 6, 2024). </w:t>
              </w:r>
            </w:hyperlink>
          </w:p>
        </w:tc>
      </w:tr>
      <w:tr>
        <w:trPr/>
        <w:tc>
          <w:tcPr>
            <w:tcW w:w="8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47">
              <w:r>
                <w:rPr>
                  <w:rStyle w:val="InternetLink"/>
                  <w:rFonts w:ascii="Times New Roman;serif" w:hAnsi="Times New Roman;serif"/>
                  <w:b w:val="false"/>
                  <w:color w:val="0000FF"/>
                  <w:sz w:val="20"/>
                  <w:u w:val="single"/>
                </w:rPr>
                <w:t xml:space="preserve">Patent Purchase Agreement, dated May 27, 2022, between Nokia Technologies, OY, Nokia Solutions and Networks, OY, and Accelsius Holdings LLC (incorporated by reference to Exhibit 10.32 to Innventure, Inc.’s Registration Statement on Form S-4 filed with the SEC on September 6, 2024). </w:t>
              </w:r>
            </w:hyperlink>
          </w:p>
        </w:tc>
      </w:tr>
      <w:tr>
        <w:trPr/>
        <w:tc>
          <w:tcPr>
            <w:tcW w:w="8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48">
              <w:r>
                <w:rPr>
                  <w:rStyle w:val="InternetLink"/>
                  <w:rFonts w:ascii="Times New Roman;serif" w:hAnsi="Times New Roman;serif"/>
                  <w:b w:val="false"/>
                  <w:color w:val="0000FF"/>
                  <w:sz w:val="20"/>
                  <w:u w:val="single"/>
                </w:rPr>
                <w:t>Patent and Know How License Agreement, dated February 15, 2018, between Air Assist LLC and The Procter &amp; Gamble Company (incorporated by reference to Exhibit 10.34 to Innventure, Inc.’s Registration Statement on Form S-4 filed with the SEC on September 6, 2024).</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36" name="Frame1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135</w:t>
                      </w:r>
                    </w:p>
                  </w:txbxContent>
                </v:textbox>
                <w10:wrap type="none"/>
              </v:rect>
            </w:pict>
          </mc:Fallback>
        </mc:AlternateContent>
      </w:r>
    </w:p>
    <w:p>
      <w:pPr>
        <w:pStyle w:val="TextBody"/>
        <w:bidi w:val="0"/>
        <w:spacing w:lineRule="auto" w:line="288" w:before="0" w:after="0"/>
        <w:jc w:val="left"/>
        <w:rPr/>
      </w:pPr>
      <w:hyperlink w:anchor="i507f7219d73d42a58f688d408612ee40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04"/>
        <w:gridCol w:w="268"/>
        <w:gridCol w:w="270"/>
        <w:gridCol w:w="109"/>
        <w:gridCol w:w="109"/>
        <w:gridCol w:w="109"/>
        <w:gridCol w:w="2959"/>
        <w:gridCol w:w="2516"/>
        <w:gridCol w:w="3561"/>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9" w:type="dxa"/>
            <w:tcBorders/>
            <w:vAlign w:val="center"/>
          </w:tcPr>
          <w:p>
            <w:pPr>
              <w:pStyle w:val="TableContents"/>
              <w:bidi w:val="0"/>
              <w:spacing w:before="0" w:after="283"/>
              <w:jc w:val="left"/>
              <w:rPr>
                <w:sz w:val="4"/>
                <w:szCs w:val="4"/>
              </w:rPr>
            </w:pPr>
            <w:r>
              <w:rPr>
                <w:sz w:val="4"/>
                <w:szCs w:val="4"/>
              </w:rPr>
            </w:r>
          </w:p>
        </w:tc>
        <w:tc>
          <w:tcPr>
            <w:tcW w:w="2516" w:type="dxa"/>
            <w:tcBorders/>
            <w:vAlign w:val="center"/>
          </w:tcPr>
          <w:p>
            <w:pPr>
              <w:pStyle w:val="TableContents"/>
              <w:bidi w:val="0"/>
              <w:spacing w:before="0" w:after="283"/>
              <w:jc w:val="left"/>
              <w:rPr>
                <w:sz w:val="4"/>
                <w:szCs w:val="4"/>
              </w:rPr>
            </w:pPr>
            <w:r>
              <w:rPr>
                <w:sz w:val="4"/>
                <w:szCs w:val="4"/>
              </w:rPr>
            </w:r>
          </w:p>
        </w:tc>
        <w:tc>
          <w:tcPr>
            <w:tcW w:w="3561" w:type="dxa"/>
            <w:tcBorders/>
            <w:vAlign w:val="center"/>
          </w:tcPr>
          <w:p>
            <w:pPr>
              <w:pStyle w:val="TableContents"/>
              <w:bidi w:val="0"/>
              <w:spacing w:before="0" w:after="283"/>
              <w:jc w:val="left"/>
              <w:rPr>
                <w:sz w:val="4"/>
                <w:szCs w:val="4"/>
              </w:rPr>
            </w:pPr>
            <w:r>
              <w:rPr>
                <w:sz w:val="4"/>
                <w:szCs w:val="4"/>
              </w:rPr>
            </w:r>
          </w:p>
        </w:tc>
      </w:tr>
      <w:tr>
        <w:trPr/>
        <w:tc>
          <w:tcPr>
            <w:tcW w:w="84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Description of Exhibits</w:t>
            </w:r>
          </w:p>
        </w:tc>
      </w:tr>
      <w:tr>
        <w:trPr/>
        <w:tc>
          <w:tcPr>
            <w:tcW w:w="8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49">
              <w:r>
                <w:rPr>
                  <w:rStyle w:val="InternetLink"/>
                  <w:rFonts w:ascii="Times New Roman;serif" w:hAnsi="Times New Roman;serif"/>
                  <w:b w:val="false"/>
                  <w:color w:val="0000FF"/>
                  <w:sz w:val="20"/>
                  <w:u w:val="single"/>
                </w:rPr>
                <w:t>Amended and Restated Patent and Know-How License Agreement, dated as of October 25, 2021, by and between the Procter &amp; Gamble Company and AeroFlexx, LLC (incorporated by reference to Exhibit 10.35 to Innventure, Inc.’s Registration Statement on Form S-4 filed with the SEC on September 6, 2024).</w:t>
              </w:r>
            </w:hyperlink>
          </w:p>
        </w:tc>
      </w:tr>
      <w:tr>
        <w:trPr/>
        <w:tc>
          <w:tcPr>
            <w:tcW w:w="8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50">
              <w:r>
                <w:rPr>
                  <w:rStyle w:val="InternetLink"/>
                  <w:rFonts w:ascii="Times New Roman;serif" w:hAnsi="Times New Roman;serif"/>
                  <w:b w:val="false"/>
                  <w:color w:val="0000FF"/>
                  <w:sz w:val="20"/>
                  <w:u w:val="single"/>
                </w:rPr>
                <w:t>Warrant Agreement, dated October 12, 2021, between Learn CW Investment Corporation and American Stock Transfer &amp; Trust Company, LLC, as warrant agent (incorporated by reference to Exhibit 4.1 to Learn CW Investment Corporation’s Current Report on Form 8-K filed with the SEC on October 14, 2021).</w:t>
              </w:r>
            </w:hyperlink>
          </w:p>
        </w:tc>
      </w:tr>
      <w:tr>
        <w:trPr/>
        <w:tc>
          <w:tcPr>
            <w:tcW w:w="8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51">
              <w:r>
                <w:rPr>
                  <w:rStyle w:val="InternetLink"/>
                  <w:rFonts w:ascii="Times New Roman;serif" w:hAnsi="Times New Roman;serif"/>
                  <w:b w:val="false"/>
                  <w:color w:val="0000FF"/>
                  <w:sz w:val="20"/>
                  <w:u w:val="single"/>
                </w:rPr>
                <w:t>Warrant Assumption Agreement, dated October 2, 2024, by and among Learn CW Investment Corporation, Innventure, Inc. (f/k/a Learn SPAC HoldCo, Inc.) and Equiniti Trust Company, LLC (f/k/a American Stock Transfer &amp; Stock Company, LLC), as warrant agent (incorporated by reference to Exhibit 10.2 to Innventure Inc.’s Current Report on Form 8-K filed with the SEC on October 9, 2024).</w:t>
              </w:r>
            </w:hyperlink>
          </w:p>
        </w:tc>
      </w:tr>
      <w:tr>
        <w:trPr/>
        <w:tc>
          <w:tcPr>
            <w:tcW w:w="8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52">
              <w:r>
                <w:rPr>
                  <w:rStyle w:val="InternetLink"/>
                  <w:rFonts w:ascii="Times New Roman;serif" w:hAnsi="Times New Roman;serif"/>
                  <w:b w:val="false"/>
                  <w:color w:val="0000FF"/>
                  <w:sz w:val="20"/>
                  <w:u w:val="single"/>
                </w:rPr>
                <w:t>Amended and Restated Registration Rights Agreement, dated October 2, 2024, by and among Innventure, Inc., Learn CW Investment Corporation, CWAM LC Sponsor LLC and the undersigned parties listed thereto (incorporated by reference to Exhibit 10.3 to Innventure Inc.’s Current Report on Form 8-K filed with the SEC on October 9, 2024).</w:t>
              </w:r>
            </w:hyperlink>
          </w:p>
        </w:tc>
      </w:tr>
      <w:tr>
        <w:trPr/>
        <w:tc>
          <w:tcPr>
            <w:tcW w:w="8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53">
              <w:r>
                <w:rPr>
                  <w:rStyle w:val="InternetLink"/>
                  <w:rFonts w:ascii="Times New Roman;serif" w:hAnsi="Times New Roman;serif"/>
                  <w:b w:val="false"/>
                  <w:color w:val="0000FF"/>
                  <w:sz w:val="20"/>
                  <w:u w:val="single"/>
                </w:rPr>
                <w:t>Amended &amp; Restated Investor Rights Agreement, dated October 2, 2024, by and among Innventure, Inc., and the undersigned parties listed thereto (incorporated by reference to Exhibit 10.4 to Innventure Inc.’s Current Report on Form 8-K filed with the SEC on October 9, 2024).</w:t>
              </w:r>
            </w:hyperlink>
          </w:p>
        </w:tc>
      </w:tr>
      <w:tr>
        <w:trPr/>
        <w:tc>
          <w:tcPr>
            <w:tcW w:w="8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54">
              <w:r>
                <w:rPr>
                  <w:rStyle w:val="InternetLink"/>
                  <w:rFonts w:ascii="Times New Roman;serif" w:hAnsi="Times New Roman;serif"/>
                  <w:b w:val="false"/>
                  <w:color w:val="000080"/>
                  <w:sz w:val="20"/>
                  <w:u w:val="single"/>
                </w:rPr>
                <w:t>Form of Indemnification Agreement (incorporated by reference to Exhibit 10.7 to Innventure</w:t>
              </w:r>
            </w:hyperlink>
            <w:hyperlink r:id="rId55">
              <w:r>
                <w:rPr>
                  <w:rStyle w:val="InternetLink"/>
                  <w:rFonts w:ascii="Times New Roman;serif" w:hAnsi="Times New Roman;serif"/>
                  <w:b w:val="false"/>
                  <w:color w:val="000080"/>
                  <w:sz w:val="20"/>
                  <w:u w:val="single"/>
                </w:rPr>
                <w:t>,</w:t>
              </w:r>
            </w:hyperlink>
            <w:hyperlink r:id="rId56">
              <w:r>
                <w:rPr>
                  <w:rStyle w:val="InternetLink"/>
                  <w:rFonts w:ascii="Times New Roman;serif" w:hAnsi="Times New Roman;serif"/>
                  <w:b w:val="false"/>
                  <w:color w:val="000080"/>
                  <w:sz w:val="20"/>
                  <w:u w:val="single"/>
                </w:rPr>
                <w:t xml:space="preserve"> Inc.’s Current Report on Form 8-K filed with the SEC on October 9, 2024).</w:t>
              </w:r>
            </w:hyperlink>
          </w:p>
        </w:tc>
      </w:tr>
      <w:tr>
        <w:trPr/>
        <w:tc>
          <w:tcPr>
            <w:tcW w:w="8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nv-ex10162024equityandinc.htm">
              <w:r>
                <w:rPr>
                  <w:rStyle w:val="InternetLink"/>
                  <w:rFonts w:ascii="Times New Roman;serif" w:hAnsi="Times New Roman;serif"/>
                  <w:b w:val="false"/>
                  <w:color w:val="000080"/>
                  <w:sz w:val="20"/>
                  <w:u w:val="single"/>
                </w:rPr>
                <w:t>Innventure, Inc. 2024 Equity and Incentive Compensation Plan</w:t>
              </w:r>
            </w:hyperlink>
            <w:hyperlink w:anchor="inv-ex10162024equityandinc.htm">
              <w:r>
                <w:rPr>
                  <w:rStyle w:val="InternetLink"/>
                  <w:rFonts w:ascii="Times New Roman;serif" w:hAnsi="Times New Roman;serif"/>
                  <w:b w:val="false"/>
                  <w:color w:val="000080"/>
                  <w:sz w:val="20"/>
                  <w:u w:val="single"/>
                </w:rPr>
                <w:t>.</w:t>
              </w:r>
            </w:hyperlink>
          </w:p>
        </w:tc>
      </w:tr>
      <w:tr>
        <w:trPr/>
        <w:tc>
          <w:tcPr>
            <w:tcW w:w="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7">
              <w:r>
                <w:rPr>
                  <w:rStyle w:val="InternetLink"/>
                  <w:rFonts w:ascii="Times New Roman;serif" w:hAnsi="Times New Roman;serif"/>
                  <w:b w:val="false"/>
                  <w:color w:val="000080"/>
                  <w:sz w:val="20"/>
                  <w:u w:val="single"/>
                </w:rPr>
                <w:t>S</w:t>
              </w:r>
            </w:hyperlink>
            <w:hyperlink r:id="rId58">
              <w:r>
                <w:rPr>
                  <w:rStyle w:val="InternetLink"/>
                  <w:rFonts w:ascii="Times New Roman;serif" w:hAnsi="Times New Roman;serif"/>
                  <w:b w:val="false"/>
                  <w:color w:val="000080"/>
                  <w:sz w:val="20"/>
                  <w:u w:val="single"/>
                </w:rPr>
                <w:t>econd Amended and Restated Innventure, Inc.</w:t>
              </w:r>
            </w:hyperlink>
            <w:hyperlink r:id="rId59">
              <w:r>
                <w:rPr>
                  <w:rStyle w:val="InternetLink"/>
                  <w:rFonts w:ascii="Times New Roman;serif" w:hAnsi="Times New Roman;serif"/>
                  <w:b w:val="false"/>
                  <w:color w:val="000080"/>
                  <w:sz w:val="20"/>
                  <w:u w:val="single"/>
                </w:rPr>
                <w:t xml:space="preserve"> Non</w:t>
              </w:r>
            </w:hyperlink>
            <w:hyperlink r:id="rId60">
              <w:r>
                <w:rPr>
                  <w:rStyle w:val="InternetLink"/>
                  <w:rFonts w:ascii="Times New Roman;serif" w:hAnsi="Times New Roman;serif"/>
                  <w:b w:val="false"/>
                  <w:color w:val="000080"/>
                  <w:sz w:val="20"/>
                  <w:u w:val="single"/>
                </w:rPr>
                <w:t xml:space="preserve">-Management Director Compensation Plan, dated November 14, 2025 (incorporated by reference to Exhibit 10.1 </w:t>
              </w:r>
            </w:hyperlink>
            <w:hyperlink r:id="rId61">
              <w:r>
                <w:rPr>
                  <w:rStyle w:val="InternetLink"/>
                  <w:rFonts w:ascii="Times New Roman;serif" w:hAnsi="Times New Roman;serif"/>
                  <w:b w:val="false"/>
                  <w:color w:val="000080"/>
                  <w:sz w:val="20"/>
                  <w:u w:val="single"/>
                </w:rPr>
                <w:t>to Innventure, Inc.</w:t>
              </w:r>
            </w:hyperlink>
            <w:hyperlink r:id="rId62">
              <w:r>
                <w:rPr>
                  <w:rStyle w:val="InternetLink"/>
                  <w:rFonts w:ascii="Times New Roman;serif" w:hAnsi="Times New Roman;serif"/>
                  <w:b w:val="false"/>
                  <w:color w:val="000080"/>
                  <w:sz w:val="20"/>
                  <w:u w:val="single"/>
                </w:rPr>
                <w:t>’</w:t>
              </w:r>
            </w:hyperlink>
            <w:hyperlink r:id="rId63">
              <w:r>
                <w:rPr>
                  <w:rStyle w:val="InternetLink"/>
                  <w:rFonts w:ascii="Times New Roman;serif" w:hAnsi="Times New Roman;serif"/>
                  <w:b w:val="false"/>
                  <w:color w:val="000080"/>
                  <w:sz w:val="20"/>
                  <w:u w:val="single"/>
                </w:rPr>
                <w:t>s Current Repor</w:t>
              </w:r>
            </w:hyperlink>
            <w:hyperlink r:id="rId64">
              <w:r>
                <w:rPr>
                  <w:rStyle w:val="InternetLink"/>
                  <w:rFonts w:ascii="Times New Roman;serif" w:hAnsi="Times New Roman;serif"/>
                  <w:b w:val="false"/>
                  <w:color w:val="000080"/>
                  <w:sz w:val="20"/>
                  <w:u w:val="single"/>
                </w:rPr>
                <w:t>t on Form 8-K filed with the SEC on November 18, 2025)</w:t>
              </w:r>
            </w:hyperlink>
          </w:p>
        </w:tc>
      </w:tr>
      <w:tr>
        <w:trPr/>
        <w:tc>
          <w:tcPr>
            <w:tcW w:w="8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65">
              <w:r>
                <w:rPr>
                  <w:rStyle w:val="InternetLink"/>
                  <w:rFonts w:ascii="Times New Roman;serif" w:hAnsi="Times New Roman;serif"/>
                  <w:b w:val="false"/>
                  <w:color w:val="0000FF"/>
                  <w:sz w:val="20"/>
                  <w:u w:val="single"/>
                </w:rPr>
                <w:t>Form of Investment Agreement by and among Innventure, Inc. and the purchasers listed on Schedule I thereto (incorporated by reference to Exhibit 10.9 to Innventure Inc.’s Current Report on Form 8-K filed with the SEC on October 9, 2024).</w:t>
              </w:r>
            </w:hyperlink>
          </w:p>
        </w:tc>
      </w:tr>
      <w:tr>
        <w:trPr/>
        <w:tc>
          <w:tcPr>
            <w:tcW w:w="8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66">
              <w:r>
                <w:rPr>
                  <w:rStyle w:val="InternetLink"/>
                  <w:rFonts w:ascii="Times New Roman;serif" w:hAnsi="Times New Roman;serif"/>
                  <w:b w:val="false"/>
                  <w:color w:val="0000FF"/>
                  <w:sz w:val="20"/>
                  <w:u w:val="single"/>
                </w:rPr>
                <w:t>Loan and Security Agreement, dated October 22, 2024, by and among Innventure LLC, WTI Fund X, Inc. and WTI Fund XI, Inc. (incorporated by reference to Exhibit 10.1 to Innventure, Inc.’s Current Report on Form 8-K dated October 23, 2024).</w:t>
              </w:r>
            </w:hyperlink>
          </w:p>
        </w:tc>
      </w:tr>
      <w:tr>
        <w:trPr/>
        <w:tc>
          <w:tcPr>
            <w:tcW w:w="8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67">
              <w:r>
                <w:rPr>
                  <w:rStyle w:val="InternetLink"/>
                  <w:rFonts w:ascii="Times New Roman;serif" w:hAnsi="Times New Roman;serif"/>
                  <w:b w:val="false"/>
                  <w:color w:val="0000FF"/>
                  <w:sz w:val="20"/>
                  <w:u w:val="single"/>
                </w:rPr>
                <w:t>Supplement to the Loan and Security Agreement, dated October 22, 2024, by and among Innventure LLC, WTI Fund X, Inc. and WTI Fund XI, Inc. (incorporated by reference to Exhibit 10.2 to Innventure, Inc.’s Current Report on Form 8-K dated October 23, 2024)</w:t>
              </w:r>
            </w:hyperlink>
          </w:p>
        </w:tc>
      </w:tr>
      <w:tr>
        <w:trPr/>
        <w:tc>
          <w:tcPr>
            <w:tcW w:w="8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68">
              <w:r>
                <w:rPr>
                  <w:rStyle w:val="InternetLink"/>
                  <w:rFonts w:ascii="Times New Roman;serif" w:hAnsi="Times New Roman;serif"/>
                  <w:b w:val="false"/>
                  <w:color w:val="0000FF"/>
                  <w:sz w:val="20"/>
                  <w:u w:val="single"/>
                </w:rPr>
                <w:t>Form of Notice of Grant of Restricted Stock Units and Restricted Stock Units Agreement for Executive Officers (incorporated by reference to Exhibit 10.1 to Innventure, Inc.’s Current Report on Form 8-K dated December 13, 2024).</w:t>
              </w:r>
            </w:hyperlink>
          </w:p>
        </w:tc>
      </w:tr>
      <w:tr>
        <w:trPr/>
        <w:tc>
          <w:tcPr>
            <w:tcW w:w="8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69">
              <w:r>
                <w:rPr>
                  <w:rStyle w:val="InternetLink"/>
                  <w:rFonts w:ascii="Times New Roman;serif" w:hAnsi="Times New Roman;serif"/>
                  <w:b w:val="false"/>
                  <w:color w:val="0000FF"/>
                  <w:sz w:val="20"/>
                  <w:u w:val="single"/>
                </w:rPr>
                <w:t>Form of Notice of Grant of Restricted Stock Units and Restricted Stock Units Agreement for Directors (incorporated by reference to Exhibit 10.10 to Innventure, Inc.’s Quarterly Report on Form 10-Q for the period ended June 30, 2025).</w:t>
              </w:r>
            </w:hyperlink>
          </w:p>
        </w:tc>
      </w:tr>
      <w:tr>
        <w:trPr/>
        <w:tc>
          <w:tcPr>
            <w:tcW w:w="8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70">
              <w:r>
                <w:rPr>
                  <w:rStyle w:val="InternetLink"/>
                  <w:rFonts w:ascii="Times New Roman;serif" w:hAnsi="Times New Roman;serif"/>
                  <w:b w:val="false"/>
                  <w:color w:val="0000FF"/>
                  <w:sz w:val="20"/>
                  <w:u w:val="single"/>
                </w:rPr>
                <w:t>Form of Notice of Grant of Nonqualified Stock Option and Nonqualified Stock Option Agreement for Executive Officers (incorporated by reference to Exhibit 10.2 to Innventure, Inc.’s Current Report on Form 8-K dated December 13, 2024).</w:t>
              </w:r>
            </w:hyperlink>
          </w:p>
        </w:tc>
      </w:tr>
      <w:tr>
        <w:trPr/>
        <w:tc>
          <w:tcPr>
            <w:tcW w:w="8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71">
              <w:r>
                <w:rPr>
                  <w:rStyle w:val="InternetLink"/>
                  <w:rFonts w:ascii="Times New Roman;serif" w:hAnsi="Times New Roman;serif"/>
                  <w:b w:val="false"/>
                  <w:color w:val="0000FF"/>
                  <w:sz w:val="20"/>
                  <w:u w:val="single"/>
                </w:rPr>
                <w:t>Form of Notice of Grant of Appreciation Rights (incorporated by reference to Exhibit 10.35 to Innventure, Inc.’s Annual Report on Form 10-K filed with the SEC on April 14, 2025).</w:t>
              </w:r>
            </w:hyperlink>
          </w:p>
        </w:tc>
      </w:tr>
      <w:tr>
        <w:trPr/>
        <w:tc>
          <w:tcPr>
            <w:tcW w:w="8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72">
              <w:r>
                <w:rPr>
                  <w:rStyle w:val="InternetLink"/>
                  <w:rFonts w:ascii="Times New Roman;serif" w:hAnsi="Times New Roman;serif"/>
                  <w:b w:val="false"/>
                  <w:color w:val="0000FF"/>
                  <w:sz w:val="20"/>
                  <w:u w:val="single"/>
                </w:rPr>
                <w:t>Form of Notice of Grant of Cash-Settled Appreciation Rights (incorporated by reference to Exhibit 10.36 to Innventure, Inc.’s Annual Report on Form 10-K filed with the SEC on April 14, 2025).</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37" name="Frame1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136</w:t>
                      </w:r>
                    </w:p>
                  </w:txbxContent>
                </v:textbox>
                <w10:wrap type="none"/>
              </v:rect>
            </w:pict>
          </mc:Fallback>
        </mc:AlternateContent>
      </w:r>
    </w:p>
    <w:p>
      <w:pPr>
        <w:pStyle w:val="TextBody"/>
        <w:bidi w:val="0"/>
        <w:spacing w:lineRule="auto" w:line="288" w:before="0" w:after="0"/>
        <w:jc w:val="left"/>
        <w:rPr/>
      </w:pPr>
      <w:hyperlink w:anchor="i507f7219d73d42a58f688d408612ee40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08"/>
        <w:gridCol w:w="271"/>
        <w:gridCol w:w="273"/>
        <w:gridCol w:w="109"/>
        <w:gridCol w:w="109"/>
        <w:gridCol w:w="109"/>
        <w:gridCol w:w="2800"/>
        <w:gridCol w:w="2578"/>
        <w:gridCol w:w="3648"/>
      </w:tblGrid>
      <w:tr>
        <w:trPr/>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0" w:type="dxa"/>
            <w:tcBorders/>
            <w:vAlign w:val="center"/>
          </w:tcPr>
          <w:p>
            <w:pPr>
              <w:pStyle w:val="TableContents"/>
              <w:bidi w:val="0"/>
              <w:spacing w:before="0" w:after="283"/>
              <w:jc w:val="left"/>
              <w:rPr>
                <w:sz w:val="4"/>
                <w:szCs w:val="4"/>
              </w:rPr>
            </w:pPr>
            <w:r>
              <w:rPr>
                <w:sz w:val="4"/>
                <w:szCs w:val="4"/>
              </w:rPr>
            </w:r>
          </w:p>
        </w:tc>
        <w:tc>
          <w:tcPr>
            <w:tcW w:w="2578" w:type="dxa"/>
            <w:tcBorders/>
            <w:vAlign w:val="center"/>
          </w:tcPr>
          <w:p>
            <w:pPr>
              <w:pStyle w:val="TableContents"/>
              <w:bidi w:val="0"/>
              <w:spacing w:before="0" w:after="283"/>
              <w:jc w:val="left"/>
              <w:rPr>
                <w:sz w:val="4"/>
                <w:szCs w:val="4"/>
              </w:rPr>
            </w:pPr>
            <w:r>
              <w:rPr>
                <w:sz w:val="4"/>
                <w:szCs w:val="4"/>
              </w:rPr>
            </w:r>
          </w:p>
        </w:tc>
        <w:tc>
          <w:tcPr>
            <w:tcW w:w="3648" w:type="dxa"/>
            <w:tcBorders/>
            <w:vAlign w:val="center"/>
          </w:tcPr>
          <w:p>
            <w:pPr>
              <w:pStyle w:val="TableContents"/>
              <w:bidi w:val="0"/>
              <w:spacing w:before="0" w:after="283"/>
              <w:jc w:val="left"/>
              <w:rPr>
                <w:sz w:val="4"/>
                <w:szCs w:val="4"/>
              </w:rPr>
            </w:pPr>
            <w:r>
              <w:rPr>
                <w:sz w:val="4"/>
                <w:szCs w:val="4"/>
              </w:rPr>
            </w:r>
          </w:p>
        </w:tc>
      </w:tr>
      <w:tr>
        <w:trPr/>
        <w:tc>
          <w:tcPr>
            <w:tcW w:w="85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Description of Exhibits</w:t>
            </w:r>
          </w:p>
        </w:tc>
      </w:tr>
      <w:tr>
        <w:trPr/>
        <w:tc>
          <w:tcPr>
            <w:tcW w:w="8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73">
              <w:r>
                <w:rPr>
                  <w:rStyle w:val="InternetLink"/>
                  <w:rFonts w:ascii="Times New Roman;serif" w:hAnsi="Times New Roman;serif"/>
                  <w:b w:val="false"/>
                  <w:color w:val="0000FF"/>
                  <w:sz w:val="20"/>
                  <w:u w:val="single"/>
                </w:rPr>
                <w:t>Standby Equity Purchase Agreement, by and between Innventure, Inc. and YA II PN, Ltd., dated October 24, 2023 (incorporated by reference to Exhibit 10.1 to Innventure, Inc.’s Current Report on Form 8-K dated March 25, 2025).</w:t>
              </w:r>
            </w:hyperlink>
          </w:p>
        </w:tc>
      </w:tr>
      <w:tr>
        <w:trPr/>
        <w:tc>
          <w:tcPr>
            <w:tcW w:w="8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74">
              <w:r>
                <w:rPr>
                  <w:rStyle w:val="InternetLink"/>
                  <w:rFonts w:ascii="Times New Roman;serif" w:hAnsi="Times New Roman;serif"/>
                  <w:b w:val="false"/>
                  <w:color w:val="0000FF"/>
                  <w:sz w:val="20"/>
                  <w:u w:val="single"/>
                </w:rPr>
                <w:t>Form of Series C Purchase Agreement for U.S. Investors (incorporated by reference to Exhibit 10.2 to Innventure, Inc.’s Current Report on Form 8-K dated March 25, 2025).</w:t>
              </w:r>
            </w:hyperlink>
          </w:p>
        </w:tc>
      </w:tr>
      <w:tr>
        <w:trPr/>
        <w:tc>
          <w:tcPr>
            <w:tcW w:w="8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75">
              <w:r>
                <w:rPr>
                  <w:rStyle w:val="InternetLink"/>
                  <w:rFonts w:ascii="Times New Roman;serif" w:hAnsi="Times New Roman;serif"/>
                  <w:b w:val="false"/>
                  <w:color w:val="0000FF"/>
                  <w:sz w:val="20"/>
                  <w:u w:val="single"/>
                </w:rPr>
                <w:t>Form of Series C Purchase Agreement for Ex-U.S. Investors (incorporated by reference to Exhibit 10.3 to Innventure, Inc.’s Current Report on Form 8-K dated March 25, 2025).</w:t>
              </w:r>
            </w:hyperlink>
          </w:p>
        </w:tc>
      </w:tr>
      <w:tr>
        <w:trPr/>
        <w:tc>
          <w:tcPr>
            <w:tcW w:w="8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76">
              <w:r>
                <w:rPr>
                  <w:rStyle w:val="InternetLink"/>
                  <w:rFonts w:ascii="Times New Roman;serif" w:hAnsi="Times New Roman;serif"/>
                  <w:b w:val="false"/>
                  <w:color w:val="000080"/>
                  <w:sz w:val="20"/>
                  <w:u w:val="single"/>
                </w:rPr>
                <w:t>Form of Term Convertible Note (incorporated by reference to Exhibit 10.1 to Innventure, Inc.’s Current Report on Form 8-K dated July</w:t>
              </w:r>
            </w:hyperlink>
            <w:hyperlink r:id="rId77">
              <w:r>
                <w:rPr>
                  <w:rStyle w:val="InternetLink"/>
                  <w:rFonts w:ascii="Times New Roman;serif" w:hAnsi="Times New Roman;serif"/>
                  <w:b w:val="false"/>
                  <w:color w:val="000080"/>
                  <w:sz w:val="20"/>
                  <w:u w:val="single"/>
                </w:rPr>
                <w:t xml:space="preserve"> </w:t>
              </w:r>
            </w:hyperlink>
            <w:hyperlink r:id="rId78">
              <w:r>
                <w:rPr>
                  <w:rStyle w:val="InternetLink"/>
                  <w:rFonts w:ascii="Times New Roman;serif" w:hAnsi="Times New Roman;serif"/>
                  <w:b w:val="false"/>
                  <w:color w:val="000080"/>
                  <w:sz w:val="20"/>
                  <w:u w:val="single"/>
                </w:rPr>
                <w:t>1, 2025).</w:t>
              </w:r>
            </w:hyperlink>
          </w:p>
        </w:tc>
      </w:tr>
      <w:tr>
        <w:trPr/>
        <w:tc>
          <w:tcPr>
            <w:tcW w:w="8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79">
              <w:r>
                <w:rPr>
                  <w:rStyle w:val="InternetLink"/>
                  <w:rFonts w:ascii="Times New Roman;serif" w:hAnsi="Times New Roman;serif"/>
                  <w:b w:val="false"/>
                  <w:color w:val="0000FF"/>
                  <w:sz w:val="20"/>
                  <w:u w:val="single"/>
                </w:rPr>
                <w:t>Form of Amendment to Stock Appreciation Right Award Agreement (incorporated by reference to Exhibit 10.4 to Innventure, Inc.’s Current Report on Form 8-K dated July 1, 2025).</w:t>
              </w:r>
            </w:hyperlink>
          </w:p>
        </w:tc>
      </w:tr>
      <w:tr>
        <w:trPr/>
        <w:tc>
          <w:tcPr>
            <w:tcW w:w="8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80">
              <w:r>
                <w:rPr>
                  <w:rStyle w:val="InternetLink"/>
                  <w:rFonts w:ascii="Times New Roman;serif" w:hAnsi="Times New Roman;serif"/>
                  <w:b w:val="false"/>
                  <w:color w:val="000080"/>
                  <w:sz w:val="20"/>
                  <w:u w:val="single"/>
                </w:rPr>
                <w:t>Amended and Restated Technology License and Know-How Agreement, dated June 30, 2025, among Accelsius, LLC, Innventure LLC</w:t>
              </w:r>
            </w:hyperlink>
            <w:hyperlink r:id="rId81">
              <w:r>
                <w:rPr>
                  <w:rStyle w:val="InternetLink"/>
                  <w:rFonts w:ascii="Times New Roman;serif" w:hAnsi="Times New Roman;serif"/>
                  <w:b w:val="false"/>
                  <w:color w:val="000080"/>
                  <w:sz w:val="20"/>
                  <w:u w:val="single"/>
                </w:rPr>
                <w:t xml:space="preserve"> </w:t>
              </w:r>
            </w:hyperlink>
            <w:hyperlink r:id="rId82">
              <w:r>
                <w:rPr>
                  <w:rStyle w:val="InternetLink"/>
                  <w:rFonts w:ascii="Times New Roman;serif" w:hAnsi="Times New Roman;serif"/>
                  <w:b w:val="false"/>
                  <w:color w:val="000080"/>
                  <w:sz w:val="20"/>
                  <w:u w:val="single"/>
                </w:rPr>
                <w:t>(solely as specifically set forth therein), Nokia Technologies Oy, Nokia Solutions and Networks Oy, and Nokia of America Corporation(incorporated by reference to Exhibit 10.1 to Innventure, Inc.’s Current Report on Form 8-K dated July 2, 2025).</w:t>
              </w:r>
            </w:hyperlink>
          </w:p>
        </w:tc>
      </w:tr>
      <w:tr>
        <w:trPr/>
        <w:tc>
          <w:tcPr>
            <w:tcW w:w="8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83">
              <w:r>
                <w:rPr>
                  <w:rStyle w:val="InternetLink"/>
                  <w:rFonts w:ascii="Times New Roman;serif" w:hAnsi="Times New Roman;serif"/>
                  <w:b w:val="false"/>
                  <w:color w:val="000080"/>
                  <w:sz w:val="20"/>
                  <w:u w:val="single"/>
                </w:rPr>
                <w:t>F</w:t>
              </w:r>
            </w:hyperlink>
            <w:hyperlink r:id="rId84">
              <w:r>
                <w:rPr>
                  <w:rStyle w:val="InternetLink"/>
                  <w:rFonts w:ascii="Times New Roman;serif" w:hAnsi="Times New Roman;serif"/>
                  <w:b w:val="false"/>
                  <w:color w:val="000080"/>
                  <w:sz w:val="20"/>
                  <w:u w:val="single"/>
                </w:rPr>
                <w:t xml:space="preserve">orm of Subscription Agreement (incorporated by reference to Exhibit 10.1 </w:t>
              </w:r>
            </w:hyperlink>
            <w:hyperlink r:id="rId85">
              <w:r>
                <w:rPr>
                  <w:rStyle w:val="InternetLink"/>
                  <w:rFonts w:ascii="Times New Roman;serif" w:hAnsi="Times New Roman;serif"/>
                  <w:b w:val="false"/>
                  <w:color w:val="000080"/>
                  <w:sz w:val="20"/>
                  <w:u w:val="single"/>
                </w:rPr>
                <w:t>to Innventure, Inc.</w:t>
              </w:r>
            </w:hyperlink>
            <w:hyperlink r:id="rId86">
              <w:r>
                <w:rPr>
                  <w:rStyle w:val="InternetLink"/>
                  <w:rFonts w:ascii="Times New Roman;serif" w:hAnsi="Times New Roman;serif"/>
                  <w:b w:val="false"/>
                  <w:color w:val="000080"/>
                  <w:sz w:val="20"/>
                  <w:u w:val="single"/>
                </w:rPr>
                <w:t>’</w:t>
              </w:r>
            </w:hyperlink>
            <w:hyperlink r:id="rId87">
              <w:r>
                <w:rPr>
                  <w:rStyle w:val="InternetLink"/>
                  <w:rFonts w:ascii="Times New Roman;serif" w:hAnsi="Times New Roman;serif"/>
                  <w:b w:val="false"/>
                  <w:color w:val="000080"/>
                  <w:sz w:val="20"/>
                  <w:u w:val="single"/>
                </w:rPr>
                <w:t xml:space="preserve">s Current Report on Form 8-K dated October </w:t>
              </w:r>
            </w:hyperlink>
            <w:hyperlink r:id="rId88">
              <w:r>
                <w:rPr>
                  <w:rStyle w:val="InternetLink"/>
                  <w:rFonts w:ascii="Times New Roman;serif" w:hAnsi="Times New Roman;serif"/>
                  <w:b w:val="false"/>
                  <w:color w:val="000080"/>
                  <w:sz w:val="20"/>
                  <w:u w:val="single"/>
                </w:rPr>
                <w:t>6</w:t>
              </w:r>
            </w:hyperlink>
            <w:hyperlink r:id="rId89">
              <w:r>
                <w:rPr>
                  <w:rStyle w:val="InternetLink"/>
                  <w:rFonts w:ascii="Times New Roman;serif" w:hAnsi="Times New Roman;serif"/>
                  <w:b w:val="false"/>
                  <w:color w:val="000080"/>
                  <w:sz w:val="20"/>
                  <w:u w:val="single"/>
                </w:rPr>
                <w:t>, 2025).</w:t>
              </w:r>
            </w:hyperlink>
          </w:p>
        </w:tc>
      </w:tr>
      <w:tr>
        <w:trPr/>
        <w:tc>
          <w:tcPr>
            <w:tcW w:w="8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90">
              <w:r>
                <w:rPr>
                  <w:rStyle w:val="InternetLink"/>
                  <w:rFonts w:ascii="Times New Roman;serif" w:hAnsi="Times New Roman;serif"/>
                  <w:b w:val="false"/>
                  <w:color w:val="0000FF"/>
                  <w:sz w:val="20"/>
                  <w:u w:val="single"/>
                </w:rPr>
                <w:t>Innventure, Inc. 2025 Short-Term Incentive Plan (incorporated by reference to Exhibit 10.43 to Innventure, Inc.’s Annual Report on Form 10-K filed with the SEC on April 14, 2025).</w:t>
              </w:r>
            </w:hyperlink>
          </w:p>
        </w:tc>
      </w:tr>
      <w:tr>
        <w:trPr/>
        <w:tc>
          <w:tcPr>
            <w:tcW w:w="8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nv-exhbit1034wtiregistrat.htm">
              <w:r>
                <w:rPr>
                  <w:rStyle w:val="InternetLink"/>
                  <w:rFonts w:ascii="Times New Roman;serif" w:hAnsi="Times New Roman;serif"/>
                  <w:b w:val="false"/>
                  <w:color w:val="000080"/>
                  <w:sz w:val="20"/>
                  <w:u w:val="single"/>
                </w:rPr>
                <w:t>Registration Rights Agreement, dated as of October 2</w:t>
              </w:r>
            </w:hyperlink>
            <w:hyperlink w:anchor="inv-exhbit1034wtiregistrat.htm">
              <w:r>
                <w:rPr>
                  <w:rStyle w:val="InternetLink"/>
                  <w:rFonts w:ascii="Times New Roman;serif" w:hAnsi="Times New Roman;serif"/>
                  <w:b w:val="false"/>
                  <w:color w:val="000080"/>
                  <w:sz w:val="20"/>
                  <w:u w:val="single"/>
                </w:rPr>
                <w:t>2</w:t>
              </w:r>
            </w:hyperlink>
            <w:hyperlink w:anchor="inv-exhbit1034wtiregistrat.htm">
              <w:r>
                <w:rPr>
                  <w:rStyle w:val="InternetLink"/>
                  <w:rFonts w:ascii="Times New Roman;serif" w:hAnsi="Times New Roman;serif"/>
                  <w:b w:val="false"/>
                  <w:color w:val="000080"/>
                  <w:sz w:val="20"/>
                  <w:u w:val="single"/>
                </w:rPr>
                <w:t>, 2024, by and among Innventure, Inc., WTI Fund X, LLC, and WTI Fund XI, LLC</w:t>
              </w:r>
            </w:hyperlink>
            <w:hyperlink w:anchor="inv-exhbit1034wtiregistrat.htm">
              <w:r>
                <w:rPr>
                  <w:rStyle w:val="InternetLink"/>
                  <w:rFonts w:ascii="Times New Roman;serif" w:hAnsi="Times New Roman;serif"/>
                  <w:b w:val="false"/>
                  <w:color w:val="000080"/>
                  <w:sz w:val="20"/>
                  <w:u w:val="single"/>
                </w:rPr>
                <w:t>.</w:t>
              </w:r>
            </w:hyperlink>
          </w:p>
        </w:tc>
      </w:tr>
      <w:tr>
        <w:trPr/>
        <w:tc>
          <w:tcPr>
            <w:tcW w:w="8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91">
              <w:r>
                <w:rPr>
                  <w:rStyle w:val="InternetLink"/>
                  <w:rFonts w:ascii="Times New Roman;serif" w:hAnsi="Times New Roman;serif"/>
                  <w:b w:val="false"/>
                  <w:color w:val="000080"/>
                  <w:sz w:val="20"/>
                  <w:u w:val="single"/>
                </w:rPr>
                <w:t xml:space="preserve">Innventure, Inc. Insider Trading Policy (incorporated by reference to Exhibit 19.1 to Innventure, Inc.’s Annual Report on Form 10-K </w:t>
              </w:r>
            </w:hyperlink>
            <w:hyperlink r:id="rId92">
              <w:r>
                <w:rPr>
                  <w:rStyle w:val="InternetLink"/>
                  <w:rFonts w:ascii="Times New Roman;serif" w:hAnsi="Times New Roman;serif"/>
                  <w:b w:val="false"/>
                  <w:color w:val="000080"/>
                  <w:sz w:val="20"/>
                  <w:u w:val="single"/>
                </w:rPr>
                <w:t>filed with the SEC on April 14, 2025</w:t>
              </w:r>
            </w:hyperlink>
            <w:hyperlink r:id="rId93">
              <w:r>
                <w:rPr>
                  <w:rStyle w:val="InternetLink"/>
                  <w:rFonts w:ascii="Times New Roman;serif" w:hAnsi="Times New Roman;serif"/>
                  <w:b w:val="false"/>
                  <w:color w:val="000080"/>
                  <w:sz w:val="20"/>
                  <w:u w:val="single"/>
                </w:rPr>
                <w:t>).</w:t>
              </w:r>
            </w:hyperlink>
          </w:p>
        </w:tc>
      </w:tr>
      <w:tr>
        <w:trPr/>
        <w:tc>
          <w:tcPr>
            <w:tcW w:w="8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94">
              <w:r>
                <w:rPr>
                  <w:rStyle w:val="InternetLink"/>
                  <w:rFonts w:ascii="Times New Roman;serif" w:hAnsi="Times New Roman;serif"/>
                  <w:b w:val="false"/>
                  <w:color w:val="000080"/>
                  <w:sz w:val="20"/>
                  <w:u w:val="single"/>
                </w:rPr>
                <w:t>Subsidiaries of the Registrant (incorporated by reference to Exhibit 21.1 to Innventure, Inc.’s Annual Report on Form 10-K filed with the SEC on April 14, 2025</w:t>
              </w:r>
            </w:hyperlink>
            <w:hyperlink r:id="rId95">
              <w:r>
                <w:rPr>
                  <w:rStyle w:val="InternetLink"/>
                  <w:rFonts w:ascii="Times New Roman;serif" w:hAnsi="Times New Roman;serif"/>
                  <w:b w:val="false"/>
                  <w:color w:val="000080"/>
                  <w:sz w:val="20"/>
                  <w:u w:val="single"/>
                </w:rPr>
                <w:t>)</w:t>
              </w:r>
            </w:hyperlink>
            <w:hyperlink r:id="rId96">
              <w:r>
                <w:rPr>
                  <w:rStyle w:val="InternetLink"/>
                  <w:rFonts w:ascii="Times New Roman;serif" w:hAnsi="Times New Roman;serif"/>
                  <w:b w:val="false"/>
                  <w:color w:val="000080"/>
                  <w:sz w:val="20"/>
                  <w:u w:val="single"/>
                </w:rPr>
                <w:t>.</w:t>
              </w:r>
            </w:hyperlink>
          </w:p>
        </w:tc>
      </w:tr>
      <w:tr>
        <w:trPr/>
        <w:tc>
          <w:tcPr>
            <w:tcW w:w="85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nv-ex231independentaudito.htm">
              <w:r>
                <w:rPr>
                  <w:rStyle w:val="InternetLink"/>
                  <w:rFonts w:ascii="Times New Roman;serif" w:hAnsi="Times New Roman;serif"/>
                  <w:b w:val="false"/>
                  <w:color w:val="000080"/>
                  <w:sz w:val="20"/>
                  <w:u w:val="single"/>
                </w:rPr>
                <w:t xml:space="preserve">Consent of </w:t>
              </w:r>
            </w:hyperlink>
            <w:hyperlink w:anchor="inv-ex231independentaudito.htm">
              <w:r>
                <w:rPr>
                  <w:rStyle w:val="InternetLink"/>
                  <w:rFonts w:ascii="Times New Roman;serif" w:hAnsi="Times New Roman;serif"/>
                  <w:b w:val="false"/>
                  <w:color w:val="000080"/>
                  <w:sz w:val="20"/>
                  <w:u w:val="single"/>
                </w:rPr>
                <w:t>W</w:t>
              </w:r>
            </w:hyperlink>
            <w:hyperlink w:anchor="inv-ex231independentaudito.htm">
              <w:r>
                <w:rPr>
                  <w:rStyle w:val="InternetLink"/>
                  <w:rFonts w:ascii="Times New Roman;serif" w:hAnsi="Times New Roman;serif"/>
                  <w:b w:val="false"/>
                  <w:color w:val="000080"/>
                  <w:sz w:val="20"/>
                  <w:u w:val="single"/>
                </w:rPr>
                <w:t>i</w:t>
              </w:r>
            </w:hyperlink>
            <w:hyperlink w:anchor="inv-ex231independentaudito.htm">
              <w:r>
                <w:rPr>
                  <w:rStyle w:val="InternetLink"/>
                  <w:rFonts w:ascii="Times New Roman;serif" w:hAnsi="Times New Roman;serif"/>
                  <w:b w:val="false"/>
                  <w:color w:val="000080"/>
                  <w:sz w:val="20"/>
                  <w:u w:val="single"/>
                </w:rPr>
                <w:t>thum Sm</w:t>
              </w:r>
            </w:hyperlink>
            <w:hyperlink w:anchor="inv-ex231independentaudito.htm">
              <w:r>
                <w:rPr>
                  <w:rStyle w:val="InternetLink"/>
                  <w:rFonts w:ascii="Times New Roman;serif" w:hAnsi="Times New Roman;serif"/>
                  <w:b w:val="false"/>
                  <w:color w:val="000080"/>
                  <w:sz w:val="20"/>
                  <w:u w:val="single"/>
                </w:rPr>
                <w:t>i</w:t>
              </w:r>
            </w:hyperlink>
            <w:hyperlink w:anchor="inv-ex231independentaudito.htm">
              <w:r>
                <w:rPr>
                  <w:rStyle w:val="InternetLink"/>
                  <w:rFonts w:ascii="Times New Roman;serif" w:hAnsi="Times New Roman;serif"/>
                  <w:b w:val="false"/>
                  <w:color w:val="000080"/>
                  <w:sz w:val="20"/>
                  <w:u w:val="single"/>
                </w:rPr>
                <w:t>th+Brown, P.C.</w:t>
              </w:r>
            </w:hyperlink>
          </w:p>
        </w:tc>
      </w:tr>
      <w:tr>
        <w:trPr/>
        <w:tc>
          <w:tcPr>
            <w:tcW w:w="8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nv-ex232to202510xkinnvent.htm">
              <w:r>
                <w:rPr>
                  <w:rStyle w:val="InternetLink"/>
                  <w:rFonts w:ascii="Times New Roman;serif" w:hAnsi="Times New Roman;serif"/>
                  <w:b w:val="false"/>
                  <w:color w:val="000080"/>
                  <w:sz w:val="20"/>
                  <w:u w:val="single"/>
                </w:rPr>
                <w:t>C</w:t>
              </w:r>
            </w:hyperlink>
            <w:hyperlink w:anchor="inv-ex232to202510xkinnvent.htm">
              <w:r>
                <w:rPr>
                  <w:rStyle w:val="InternetLink"/>
                  <w:rFonts w:ascii="Times New Roman;serif" w:hAnsi="Times New Roman;serif"/>
                  <w:b w:val="false"/>
                  <w:color w:val="000080"/>
                  <w:sz w:val="20"/>
                  <w:u w:val="single"/>
                </w:rPr>
                <w:t>onsent of BDO USA, P.C.</w:t>
              </w:r>
            </w:hyperlink>
          </w:p>
        </w:tc>
      </w:tr>
      <w:tr>
        <w:trPr/>
        <w:tc>
          <w:tcPr>
            <w:tcW w:w="8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nv-exhibit311to2025q4.htm">
              <w:r>
                <w:rPr>
                  <w:rStyle w:val="InternetLink"/>
                  <w:rFonts w:ascii="Times New Roman;serif" w:hAnsi="Times New Roman;serif"/>
                  <w:b w:val="false"/>
                  <w:color w:val="000080"/>
                  <w:sz w:val="20"/>
                  <w:u w:val="single"/>
                </w:rPr>
                <w:t>Rule 13a-14(a) Certification by Gregory W. Haskell, Chief Executive Officer, for the fiscal year ended December 31, 202</w:t>
              </w:r>
            </w:hyperlink>
            <w:hyperlink w:anchor="inv-exhibit311to2025q4.htm">
              <w:r>
                <w:rPr>
                  <w:rStyle w:val="InternetLink"/>
                  <w:rFonts w:ascii="Times New Roman;serif" w:hAnsi="Times New Roman;serif"/>
                  <w:b w:val="false"/>
                  <w:color w:val="000080"/>
                  <w:sz w:val="20"/>
                  <w:u w:val="single"/>
                </w:rPr>
                <w:t>5</w:t>
              </w:r>
            </w:hyperlink>
            <w:hyperlink w:anchor="inv-exhibit311to2025q4.htm">
              <w:r>
                <w:rPr>
                  <w:rStyle w:val="InternetLink"/>
                  <w:rFonts w:ascii="Times New Roman;serif" w:hAnsi="Times New Roman;serif"/>
                  <w:b w:val="false"/>
                  <w:color w:val="000080"/>
                  <w:sz w:val="20"/>
                  <w:u w:val="single"/>
                </w:rPr>
                <w:t>.</w:t>
              </w:r>
            </w:hyperlink>
          </w:p>
        </w:tc>
      </w:tr>
      <w:tr>
        <w:trPr/>
        <w:tc>
          <w:tcPr>
            <w:tcW w:w="8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nv-exhibit312to2025q4.htm">
              <w:r>
                <w:rPr>
                  <w:rStyle w:val="InternetLink"/>
                  <w:rFonts w:ascii="Times New Roman;serif" w:hAnsi="Times New Roman;serif"/>
                  <w:b w:val="false"/>
                  <w:color w:val="000080"/>
                  <w:sz w:val="20"/>
                  <w:u w:val="single"/>
                </w:rPr>
                <w:t>Rule 13a-14(a) Certification by David Yablunosky, Chief Financial Officer, for the fiscal year ended December 31, 202</w:t>
              </w:r>
            </w:hyperlink>
            <w:hyperlink w:anchor="inv-exhibit312to2025q4.htm">
              <w:r>
                <w:rPr>
                  <w:rStyle w:val="InternetLink"/>
                  <w:rFonts w:ascii="Times New Roman;serif" w:hAnsi="Times New Roman;serif"/>
                  <w:b w:val="false"/>
                  <w:color w:val="000080"/>
                  <w:sz w:val="20"/>
                  <w:u w:val="single"/>
                </w:rPr>
                <w:t>5</w:t>
              </w:r>
            </w:hyperlink>
            <w:hyperlink w:anchor="inv-exhibit312to2025q4.htm">
              <w:r>
                <w:rPr>
                  <w:rStyle w:val="InternetLink"/>
                  <w:rFonts w:ascii="Times New Roman;serif" w:hAnsi="Times New Roman;serif"/>
                  <w:b w:val="false"/>
                  <w:color w:val="000080"/>
                  <w:sz w:val="20"/>
                  <w:u w:val="single"/>
                </w:rPr>
                <w:t>.</w:t>
              </w:r>
            </w:hyperlink>
          </w:p>
        </w:tc>
      </w:tr>
      <w:tr>
        <w:trPr/>
        <w:tc>
          <w:tcPr>
            <w:tcW w:w="85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nv-exhibit321to2025q4.htm">
              <w:r>
                <w:rPr>
                  <w:rStyle w:val="InternetLink"/>
                  <w:rFonts w:ascii="Times New Roman;serif" w:hAnsi="Times New Roman;serif"/>
                  <w:b w:val="false"/>
                  <w:color w:val="000080"/>
                  <w:sz w:val="20"/>
                  <w:u w:val="single"/>
                </w:rPr>
                <w:t>Section 1350 Certification by Gregory W. Haskell, Chief Executive Officer, for the fiscal year ended December 31, 202</w:t>
              </w:r>
            </w:hyperlink>
            <w:hyperlink w:anchor="inv-exhibit321to2025q4.htm">
              <w:r>
                <w:rPr>
                  <w:rStyle w:val="InternetLink"/>
                  <w:rFonts w:ascii="Times New Roman;serif" w:hAnsi="Times New Roman;serif"/>
                  <w:b w:val="false"/>
                  <w:color w:val="000080"/>
                  <w:sz w:val="20"/>
                  <w:u w:val="single"/>
                </w:rPr>
                <w:t>5</w:t>
              </w:r>
            </w:hyperlink>
            <w:hyperlink w:anchor="inv-exhibit321to2025q4.htm">
              <w:r>
                <w:rPr>
                  <w:rStyle w:val="InternetLink"/>
                  <w:rFonts w:ascii="Times New Roman;serif" w:hAnsi="Times New Roman;serif"/>
                  <w:b w:val="false"/>
                  <w:color w:val="000080"/>
                  <w:sz w:val="20"/>
                  <w:u w:val="single"/>
                </w:rPr>
                <w:t>.</w:t>
              </w:r>
            </w:hyperlink>
          </w:p>
        </w:tc>
      </w:tr>
      <w:tr>
        <w:trPr/>
        <w:tc>
          <w:tcPr>
            <w:tcW w:w="85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nv-exhibit322to2025q4.htm">
              <w:r>
                <w:rPr>
                  <w:rStyle w:val="InternetLink"/>
                  <w:rFonts w:ascii="Times New Roman;serif" w:hAnsi="Times New Roman;serif"/>
                  <w:b w:val="false"/>
                  <w:color w:val="000080"/>
                  <w:sz w:val="20"/>
                  <w:u w:val="single"/>
                </w:rPr>
                <w:t>Section 1350 Certification by David Yablunosky, Chief Financial Officer, for the fiscal year ended December 31, 202</w:t>
              </w:r>
            </w:hyperlink>
            <w:hyperlink w:anchor="inv-exhibit322to2025q4.htm">
              <w:r>
                <w:rPr>
                  <w:rStyle w:val="InternetLink"/>
                  <w:rFonts w:ascii="Times New Roman;serif" w:hAnsi="Times New Roman;serif"/>
                  <w:b w:val="false"/>
                  <w:color w:val="000080"/>
                  <w:sz w:val="20"/>
                  <w:u w:val="single"/>
                </w:rPr>
                <w:t>5</w:t>
              </w:r>
            </w:hyperlink>
            <w:hyperlink w:anchor="inv-exhibit322to2025q4.htm">
              <w:r>
                <w:rPr>
                  <w:rStyle w:val="InternetLink"/>
                  <w:rFonts w:ascii="Times New Roman;serif" w:hAnsi="Times New Roman;serif"/>
                  <w:b w:val="false"/>
                  <w:color w:val="000080"/>
                  <w:sz w:val="20"/>
                  <w:u w:val="single"/>
                </w:rPr>
                <w:t>.</w:t>
              </w:r>
            </w:hyperlink>
          </w:p>
        </w:tc>
      </w:tr>
      <w:tr>
        <w:trPr/>
        <w:tc>
          <w:tcPr>
            <w:tcW w:w="85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97">
              <w:r>
                <w:rPr>
                  <w:rStyle w:val="InternetLink"/>
                  <w:rFonts w:ascii="Times New Roman;serif" w:hAnsi="Times New Roman;serif"/>
                  <w:b w:val="false"/>
                  <w:color w:val="000080"/>
                  <w:sz w:val="20"/>
                  <w:u w:val="single"/>
                </w:rPr>
                <w:t>Innventure, Inc. Compensation Clawback Policy (incorporated by reference to Exhibit 97.1 to Innventure, Inc.’s Annual Report on Form 10-K</w:t>
              </w:r>
            </w:hyperlink>
            <w:hyperlink r:id="rId98">
              <w:r>
                <w:rPr>
                  <w:rStyle w:val="InternetLink"/>
                  <w:rFonts w:ascii="Times New Roman;serif" w:hAnsi="Times New Roman;serif"/>
                  <w:b w:val="false"/>
                  <w:color w:val="000080"/>
                  <w:sz w:val="20"/>
                  <w:u w:val="single"/>
                </w:rPr>
                <w:t xml:space="preserve"> filed with the SEC on April 14, 2025</w:t>
              </w:r>
            </w:hyperlink>
            <w:hyperlink r:id="rId99">
              <w:r>
                <w:rPr>
                  <w:rStyle w:val="InternetLink"/>
                  <w:rFonts w:ascii="Times New Roman;serif" w:hAnsi="Times New Roman;serif"/>
                  <w:b w:val="false"/>
                  <w:color w:val="000080"/>
                  <w:sz w:val="20"/>
                  <w:u w:val="single"/>
                </w:rPr>
                <w:t>).</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38" name="Frame1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137</w:t>
                      </w:r>
                    </w:p>
                  </w:txbxContent>
                </v:textbox>
                <w10:wrap type="none"/>
              </v:rect>
            </w:pict>
          </mc:Fallback>
        </mc:AlternateContent>
      </w:r>
    </w:p>
    <w:p>
      <w:pPr>
        <w:pStyle w:val="TextBody"/>
        <w:bidi w:val="0"/>
        <w:spacing w:lineRule="auto" w:line="288" w:before="0" w:after="0"/>
        <w:jc w:val="left"/>
        <w:rPr/>
      </w:pPr>
      <w:hyperlink w:anchor="i507f7219d73d42a58f688d408612ee40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71"/>
        <w:gridCol w:w="239"/>
        <w:gridCol w:w="240"/>
        <w:gridCol w:w="109"/>
        <w:gridCol w:w="109"/>
        <w:gridCol w:w="109"/>
        <w:gridCol w:w="2763"/>
        <w:gridCol w:w="2736"/>
        <w:gridCol w:w="3629"/>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3" w:type="dxa"/>
            <w:tcBorders/>
            <w:vAlign w:val="center"/>
          </w:tcPr>
          <w:p>
            <w:pPr>
              <w:pStyle w:val="TableContents"/>
              <w:bidi w:val="0"/>
              <w:spacing w:before="0" w:after="283"/>
              <w:jc w:val="left"/>
              <w:rPr>
                <w:sz w:val="4"/>
                <w:szCs w:val="4"/>
              </w:rPr>
            </w:pPr>
            <w:r>
              <w:rPr>
                <w:sz w:val="4"/>
                <w:szCs w:val="4"/>
              </w:rPr>
            </w:r>
          </w:p>
        </w:tc>
        <w:tc>
          <w:tcPr>
            <w:tcW w:w="2736" w:type="dxa"/>
            <w:tcBorders/>
            <w:vAlign w:val="center"/>
          </w:tcPr>
          <w:p>
            <w:pPr>
              <w:pStyle w:val="TableContents"/>
              <w:bidi w:val="0"/>
              <w:spacing w:before="0" w:after="283"/>
              <w:jc w:val="left"/>
              <w:rPr>
                <w:sz w:val="4"/>
                <w:szCs w:val="4"/>
              </w:rPr>
            </w:pPr>
            <w:r>
              <w:rPr>
                <w:sz w:val="4"/>
                <w:szCs w:val="4"/>
              </w:rPr>
            </w:r>
          </w:p>
        </w:tc>
        <w:tc>
          <w:tcPr>
            <w:tcW w:w="3629"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Description of Exhibits</w:t>
            </w:r>
          </w:p>
        </w:tc>
      </w:tr>
      <w:tr>
        <w:trPr/>
        <w:tc>
          <w:tcPr>
            <w:tcW w:w="7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following financial statements from Innventure, Inc.’s Annual Report on Form 10-K for the fiscal year ended December 31, 2025, formatted in Inline XBRL (eXtensible Business Reporting Language): (i) Consolidated Balance Sheets as of December 31, 2025 and 2024; (ii) Consolidated Statements of Operations and Comprehensive Income (Loss) for the year ended December 31, 2025 (Successor), the period October 2, 2024 through December 31, 2024 (Successor), and the period January 1, 2024 through October 1, 2024 (Predecessor); (iii) Consolidated Statement of Changes in Mezzanine Capital for the period January 1, 2024 through October 1, 2024 (Predecessor); (iv) Consolidated Statement of Changes in Stockholders’ Equity for the year ended December 31, 2025 (Successor), the period October 2, 2024 through December 31, 2024 (Successor), and the period January 1, 2024 through October 1, 2024 (Predecessor); (v) Consolidated Statements of Cash Flows for the year ended December 31, 2025 (Successor), the period October 2, 2024 through December 31, 2024 (Successor), and the period January 1, 2024 through October 1, 2024 (Predecessor); and (vi) Notes to Consolidated Financial Statements.</w:t>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*Filed herewith</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**Certain identified information has been excluded from this exhibit pursuant to Rule 601(b)(10) of Regulation S-K because it is both (i) not material and (ii) is the type of information that the registrant treats as private or confidential.</w:t>
      </w:r>
    </w:p>
    <w:p>
      <w:pPr>
        <w:pStyle w:val="TextBody"/>
        <w:bidi w:val="0"/>
        <w:spacing w:lineRule="auto" w:line="288" w:before="0" w:after="240"/>
        <w:jc w:val="left"/>
        <w:rPr>
          <w:rFonts w:ascii="Times New Roman;serif" w:hAnsi="Times New Roman;serif"/>
          <w:b w:val="false"/>
          <w:color w:val="000000"/>
          <w:sz w:val="16"/>
        </w:rPr>
      </w:pPr>
      <w:r>
        <w:rPr>
          <w:rFonts w:ascii="Times New Roman;serif" w:hAnsi="Times New Roman;serif"/>
          <w:b w:val="false"/>
          <w:color w:val="000000"/>
          <w:sz w:val="16"/>
        </w:rPr>
        <w:t>*** Furnished herewith</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6"/>
        </w:rPr>
        <w:t>The Registrant respectfully submits that it has filed a Confidential Treatment Request with the Commission with respect to this exhibit.</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+Schedules and exhibits have been omitted pursuant to Item 601(b)(2) of Regulation S-K. The registrant agrees to furnish supplementally a copy of any omitted schedule or exhibit to the SEC upon request.</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^Certain schedules have been omitted pursuant to Item 601(a)(5) of Regulation S-K. Innventure, Inc. agrees to furnish a copy of any omitted schedule to the SEC upon request.</w:t>
      </w:r>
    </w:p>
    <w:p>
      <w:pPr>
        <w:pStyle w:val="TextBody"/>
        <w:bidi w:val="0"/>
        <w:spacing w:lineRule="auto" w:line="288" w:before="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#Indicates management contract or compensatory plan or arrangement.</w:t>
      </w:r>
    </w:p>
    <w:p>
      <w:pPr>
        <w:pStyle w:val="TextBody"/>
        <w:bidi w:val="0"/>
        <w:spacing w:before="0" w:after="180"/>
        <w:jc w:val="left"/>
        <w:rPr/>
      </w:pPr>
      <w:r>
        <w:rPr/>
      </w:r>
    </w:p>
    <w:p>
      <w:pPr>
        <w:pStyle w:val="TextBody"/>
        <w:bidi w:val="0"/>
        <w:spacing w:before="0" w:after="18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16. FORM 10-K SUMMARY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39" name="Frame1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138</w:t>
                      </w:r>
                    </w:p>
                  </w:txbxContent>
                </v:textbox>
                <w10:wrap type="none"/>
              </v:rect>
            </w:pict>
          </mc:Fallback>
        </mc:AlternateContent>
      </w:r>
    </w:p>
    <w:p>
      <w:pPr>
        <w:pStyle w:val="TextBody"/>
        <w:bidi w:val="0"/>
        <w:spacing w:lineRule="auto" w:line="288" w:before="0" w:after="120"/>
        <w:jc w:val="left"/>
        <w:rPr/>
      </w:pPr>
      <w:hyperlink w:anchor="i507f7219d73d42a58f688d408612ee4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0"/>
        <w:ind w:left="0" w:right="0" w:firstLine="360"/>
        <w:jc w:val="both"/>
        <w:rPr/>
      </w:pPr>
      <w:r>
        <w:rPr/>
      </w:r>
    </w:p>
    <w:tbl>
      <w:tblPr>
        <w:tblW w:w="5902" w:type="dxa"/>
        <w:jc w:val="left"/>
        <w:tblInd w:w="0" w:type="dxa"/>
        <w:tblLayout w:type="fixed"/>
        <w:tblCellMar>
          <w:top w:w="28" w:type="dxa"/>
          <w:left w:w="28" w:type="dxa"/>
          <w:bottom w:w="28" w:type="dxa"/>
          <w:right w:w="28" w:type="dxa"/>
        </w:tblCellMar>
      </w:tblPr>
      <w:tblGrid>
        <w:gridCol w:w="683"/>
        <w:gridCol w:w="601"/>
        <w:gridCol w:w="605"/>
        <w:gridCol w:w="298"/>
        <w:gridCol w:w="298"/>
        <w:gridCol w:w="298"/>
        <w:gridCol w:w="909"/>
        <w:gridCol w:w="909"/>
        <w:gridCol w:w="1301"/>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3"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INNVENTURE, INC.</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11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w:t>
            </w:r>
            <w:r>
              <w:rPr>
                <w:rFonts w:ascii="Times New Roman;serif" w:hAnsi="Times New Roman;serif"/>
                <w:b w:val="false"/>
                <w:color w:val="000000"/>
                <w:sz w:val="20"/>
                <w:u w:val="single"/>
              </w:rPr>
              <w:t>/s/ Gregory W. Haskell</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Gregory W. Haskell</w:t>
            </w:r>
          </w:p>
        </w:tc>
      </w:tr>
      <w:tr>
        <w:trPr/>
        <w:tc>
          <w:tcPr>
            <w:tcW w:w="18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March 30, 2026</w:t>
            </w:r>
          </w:p>
        </w:tc>
        <w:tc>
          <w:tcPr>
            <w:tcW w:w="8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1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r>
    </w:tbl>
    <w:p>
      <w:pPr>
        <w:pStyle w:val="TextBody"/>
        <w:bidi w:val="0"/>
        <w:spacing w:before="0" w:after="60"/>
        <w:jc w:val="center"/>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this report has been signed below by the following persons on behalf of the registrant and in the capacities and on the dates indicated.</w:t>
      </w:r>
    </w:p>
    <w:p>
      <w:pPr>
        <w:pStyle w:val="TextBody"/>
        <w:bidi w:val="0"/>
        <w:spacing w:before="0" w:after="0"/>
        <w:ind w:left="0" w:right="0" w:firstLine="360"/>
        <w:jc w:val="both"/>
        <w:rPr/>
      </w:pPr>
      <w:r>
        <w:rPr/>
      </w:r>
    </w:p>
    <w:tbl>
      <w:tblPr>
        <w:tblW w:w="9307" w:type="dxa"/>
        <w:jc w:val="left"/>
        <w:tblInd w:w="0" w:type="dxa"/>
        <w:tblLayout w:type="fixed"/>
        <w:tblCellMar>
          <w:top w:w="28" w:type="dxa"/>
          <w:left w:w="28" w:type="dxa"/>
          <w:bottom w:w="28" w:type="dxa"/>
          <w:right w:w="28" w:type="dxa"/>
        </w:tblCellMar>
      </w:tblPr>
      <w:tblGrid>
        <w:gridCol w:w="766"/>
        <w:gridCol w:w="673"/>
        <w:gridCol w:w="676"/>
        <w:gridCol w:w="109"/>
        <w:gridCol w:w="109"/>
        <w:gridCol w:w="109"/>
        <w:gridCol w:w="1692"/>
        <w:gridCol w:w="1692"/>
        <w:gridCol w:w="1715"/>
        <w:gridCol w:w="109"/>
        <w:gridCol w:w="109"/>
        <w:gridCol w:w="109"/>
        <w:gridCol w:w="419"/>
        <w:gridCol w:w="419"/>
        <w:gridCol w:w="601"/>
      </w:tblGrid>
      <w:tr>
        <w:trPr/>
        <w:tc>
          <w:tcPr>
            <w:tcW w:w="76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Date</w:t>
            </w:r>
          </w:p>
        </w:tc>
      </w:tr>
      <w:tr>
        <w:trPr/>
        <w:tc>
          <w:tcPr>
            <w:tcW w:w="21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w:t>
            </w:r>
            <w:r>
              <w:rPr>
                <w:rFonts w:ascii="Times New Roman;serif" w:hAnsi="Times New Roman;serif"/>
                <w:b w:val="false"/>
                <w:color w:val="000000"/>
                <w:sz w:val="20"/>
                <w:u w:val="single"/>
              </w:rPr>
              <w:t>/s/ Gregory W. Haskell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Chief Executive Officer and Director</w:t>
              <w:b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30, 2026</w:t>
            </w:r>
          </w:p>
        </w:tc>
      </w:tr>
      <w:tr>
        <w:trPr/>
        <w:tc>
          <w:tcPr>
            <w:tcW w:w="2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Gregory W. Haskell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w:t>
            </w:r>
            <w:r>
              <w:rPr>
                <w:rFonts w:ascii="Times New Roman;serif" w:hAnsi="Times New Roman;serif"/>
                <w:b w:val="false"/>
                <w:color w:val="000000"/>
                <w:sz w:val="20"/>
                <w:u w:val="single"/>
              </w:rPr>
              <w:t>/s/ David Yablunosky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Chief Financial Officer and Director</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(Principal Financial Officer and 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30, 2026</w:t>
            </w:r>
          </w:p>
        </w:tc>
      </w:tr>
      <w:tr>
        <w:trPr/>
        <w:tc>
          <w:tcPr>
            <w:tcW w:w="2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David Yablunosky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w:t>
            </w:r>
            <w:r>
              <w:rPr>
                <w:rFonts w:ascii="Times New Roman;serif" w:hAnsi="Times New Roman;serif"/>
                <w:b w:val="false"/>
                <w:color w:val="000000"/>
                <w:sz w:val="20"/>
                <w:u w:val="single"/>
              </w:rPr>
              <w:t>/s/ Michael Otworth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Executive Chairman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30, 2026</w:t>
            </w:r>
          </w:p>
        </w:tc>
      </w:tr>
      <w:tr>
        <w:trPr/>
        <w:tc>
          <w:tcPr>
            <w:tcW w:w="2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Michael Otworth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w:t>
            </w:r>
            <w:r>
              <w:rPr>
                <w:rFonts w:ascii="Times New Roman;serif" w:hAnsi="Times New Roman;serif"/>
                <w:b w:val="false"/>
                <w:color w:val="000000"/>
                <w:sz w:val="20"/>
                <w:u w:val="single"/>
              </w:rPr>
              <w:t>/s/ Suzanne Niemeyer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General Counsel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30, 2026</w:t>
            </w:r>
          </w:p>
        </w:tc>
      </w:tr>
      <w:tr>
        <w:trPr/>
        <w:tc>
          <w:tcPr>
            <w:tcW w:w="2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Suzanne Niemeyer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w:t>
            </w:r>
            <w:r>
              <w:rPr>
                <w:rFonts w:ascii="Times New Roman;serif" w:hAnsi="Times New Roman;serif"/>
                <w:b w:val="false"/>
                <w:color w:val="000000"/>
                <w:sz w:val="20"/>
                <w:u w:val="single"/>
              </w:rPr>
              <w:t xml:space="preserve">/s/ James O. Donnally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30, 2026</w:t>
            </w:r>
          </w:p>
        </w:tc>
      </w:tr>
      <w:tr>
        <w:trPr/>
        <w:tc>
          <w:tcPr>
            <w:tcW w:w="2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James O. Donnally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w:t>
            </w:r>
            <w:r>
              <w:rPr>
                <w:rFonts w:ascii="Times New Roman;serif" w:hAnsi="Times New Roman;serif"/>
                <w:b w:val="false"/>
                <w:color w:val="000000"/>
                <w:sz w:val="20"/>
                <w:u w:val="single"/>
              </w:rPr>
              <w:t>/s/ Bruce Brown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30, 2026</w:t>
            </w:r>
          </w:p>
        </w:tc>
      </w:tr>
      <w:tr>
        <w:trPr/>
        <w:tc>
          <w:tcPr>
            <w:tcW w:w="2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Bruce Brown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w:t>
            </w:r>
            <w:r>
              <w:rPr>
                <w:rFonts w:ascii="Times New Roman;serif" w:hAnsi="Times New Roman;serif"/>
                <w:b w:val="false"/>
                <w:color w:val="000000"/>
                <w:sz w:val="20"/>
                <w:u w:val="single"/>
              </w:rPr>
              <w:t>/s/ Elizabeth Williams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30, 2026</w:t>
            </w:r>
          </w:p>
        </w:tc>
      </w:tr>
      <w:tr>
        <w:trPr/>
        <w:tc>
          <w:tcPr>
            <w:tcW w:w="2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Elizabeth Williams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w:t>
            </w:r>
            <w:r>
              <w:rPr>
                <w:rFonts w:ascii="Times New Roman;serif" w:hAnsi="Times New Roman;serif"/>
                <w:b w:val="false"/>
                <w:color w:val="000000"/>
                <w:sz w:val="20"/>
                <w:u w:val="single"/>
              </w:rPr>
              <w:t>/s/ Daniel J. Hennessy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30, 2026</w:t>
            </w:r>
          </w:p>
        </w:tc>
      </w:tr>
      <w:tr>
        <w:trPr/>
        <w:tc>
          <w:tcPr>
            <w:tcW w:w="2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Daniel J. Hennessy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u w:val="single"/>
              </w:rPr>
            </w:pPr>
            <w:r>
              <w:rPr>
                <w:color w:val="000000"/>
                <w:u w:val="single"/>
              </w:rPr>
              <w:t>  </w:t>
            </w:r>
            <w:r>
              <w:rPr>
                <w:rFonts w:ascii="Times New Roman;serif" w:hAnsi="Times New Roman;serif"/>
                <w:b w:val="false"/>
                <w:color w:val="000000"/>
                <w:sz w:val="20"/>
                <w:u w:val="single"/>
              </w:rPr>
              <w:t>/s/ Michael Amalfitano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30, 2026</w:t>
            </w:r>
          </w:p>
        </w:tc>
      </w:tr>
      <w:tr>
        <w:trPr/>
        <w:tc>
          <w:tcPr>
            <w:tcW w:w="2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Michael Amalfitano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INNVENTURE, INC. </w:t>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140" name="Frame1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79.0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2024 EQUITY AND INCENTIVE COMPENSATION PLAN </w:t>
      </w:r>
    </w:p>
    <w:p>
      <w:pPr>
        <w:pStyle w:val="TextBody"/>
        <w:bidi w:val="0"/>
        <w:spacing w:lineRule="auto" w:line="288" w:before="120" w:after="120"/>
        <w:ind w:left="0" w:right="0" w:firstLine="400"/>
        <w:jc w:val="both"/>
        <w:rPr>
          <w:shd w:fill="FFFFFF" w:val="clear"/>
        </w:rPr>
      </w:pPr>
      <w:r>
        <w:rPr>
          <w:rFonts w:ascii="Times New Roman;serif" w:hAnsi="Times New Roman;serif"/>
          <w:b w:val="false"/>
          <w:color w:val="000000"/>
          <w:sz w:val="20"/>
          <w:shd w:fill="FFFFFF" w:val="clear"/>
        </w:rPr>
        <w:t>1. </w:t>
      </w:r>
      <w:r>
        <w:rPr>
          <w:rFonts w:ascii="Times New Roman;serif" w:hAnsi="Times New Roman;serif"/>
          <w:b/>
          <w:color w:val="000000"/>
          <w:sz w:val="20"/>
          <w:shd w:fill="FFFFFF" w:val="clear"/>
        </w:rPr>
        <w:t xml:space="preserve">Purpose. </w:t>
      </w:r>
      <w:r>
        <w:rPr>
          <w:rFonts w:ascii="Times New Roman;serif" w:hAnsi="Times New Roman;serif"/>
          <w:b w:val="false"/>
          <w:color w:val="000000"/>
          <w:sz w:val="20"/>
          <w:shd w:fill="FFFFFF" w:val="clear"/>
        </w:rPr>
        <w:t>The purpose of this Plan is to permit the grant of awards to non-employee Directors, officers and other employees of the Company and its Subsidiaries, and certain consultants to the Company and its Subsidiaries, and to provide to such persons incentives and rewards for service and/or performance.</w:t>
      </w:r>
    </w:p>
    <w:p>
      <w:pPr>
        <w:pStyle w:val="TextBody"/>
        <w:bidi w:val="0"/>
        <w:spacing w:lineRule="auto" w:line="288" w:before="120" w:after="120"/>
        <w:ind w:left="0" w:right="0" w:firstLine="400"/>
        <w:jc w:val="left"/>
        <w:rPr>
          <w:shd w:fill="FFFFFF" w:val="clear"/>
        </w:rPr>
      </w:pPr>
      <w:r>
        <w:rPr>
          <w:rFonts w:ascii="Times New Roman;serif" w:hAnsi="Times New Roman;serif"/>
          <w:b w:val="false"/>
          <w:color w:val="000000"/>
          <w:sz w:val="20"/>
          <w:shd w:fill="FFFFFF" w:val="clear"/>
        </w:rPr>
        <w:t>2. </w:t>
      </w:r>
      <w:r>
        <w:rPr>
          <w:rFonts w:ascii="Times New Roman;serif" w:hAnsi="Times New Roman;serif"/>
          <w:b/>
          <w:color w:val="000000"/>
          <w:sz w:val="20"/>
          <w:shd w:fill="FFFFFF" w:val="clear"/>
        </w:rPr>
        <w:t xml:space="preserve">Definitions. </w:t>
      </w:r>
      <w:r>
        <w:rPr>
          <w:rFonts w:ascii="Times New Roman;serif" w:hAnsi="Times New Roman;serif"/>
          <w:b w:val="false"/>
          <w:color w:val="000000"/>
          <w:sz w:val="20"/>
          <w:shd w:fill="FFFFFF" w:val="clear"/>
        </w:rPr>
        <w:t xml:space="preserve">Except as otherwise provided herein, the following are the definitions used in this Plan: </w:t>
      </w:r>
    </w:p>
    <w:p>
      <w:pPr>
        <w:pStyle w:val="TextBody"/>
        <w:bidi w:val="0"/>
        <w:spacing w:before="120" w:after="120"/>
        <w:ind w:left="0" w:right="0" w:firstLine="400"/>
        <w:jc w:val="left"/>
        <w:rPr/>
      </w:pPr>
      <w:r>
        <w:rPr/>
      </w:r>
    </w:p>
    <w:p>
      <w:pPr>
        <w:pStyle w:val="TextBody"/>
        <w:bidi w:val="0"/>
        <w:spacing w:lineRule="auto" w:line="288" w:before="120" w:after="120"/>
        <w:ind w:left="0" w:right="0" w:firstLine="400"/>
        <w:jc w:val="left"/>
        <w:rPr>
          <w:shd w:fill="FFFFFF" w:val="clear"/>
        </w:rPr>
      </w:pPr>
      <w:r>
        <w:rPr>
          <w:rFonts w:ascii="Times New Roman;serif" w:hAnsi="Times New Roman;serif"/>
          <w:b w:val="false"/>
          <w:color w:val="000000"/>
          <w:sz w:val="20"/>
          <w:shd w:fill="FFFFFF" w:val="clear"/>
        </w:rPr>
        <w:t>(a) “</w:t>
      </w:r>
      <w:r>
        <w:rPr>
          <w:rFonts w:ascii="Times New Roman;serif" w:hAnsi="Times New Roman;serif"/>
          <w:b w:val="false"/>
          <w:color w:val="000000"/>
          <w:sz w:val="20"/>
          <w:u w:val="single"/>
          <w:shd w:fill="FFFFFF" w:val="clear"/>
        </w:rPr>
        <w:t>Appreciation Right</w:t>
      </w:r>
      <w:r>
        <w:rPr>
          <w:color w:val="000000"/>
          <w:shd w:fill="FFFFFF" w:val="clear"/>
        </w:rPr>
        <w:t xml:space="preserve">” </w:t>
      </w:r>
      <w:r>
        <w:rPr>
          <w:rFonts w:ascii="Times New Roman;serif" w:hAnsi="Times New Roman;serif"/>
          <w:b w:val="false"/>
          <w:color w:val="000000"/>
          <w:sz w:val="20"/>
          <w:shd w:fill="FFFFFF" w:val="clear"/>
        </w:rPr>
        <w:t xml:space="preserve">means a right granted pursuant to </w:t>
      </w:r>
      <w:r>
        <w:rPr>
          <w:rFonts w:ascii="Times New Roman;serif" w:hAnsi="Times New Roman;serif"/>
          <w:b/>
          <w:color w:val="000000"/>
          <w:sz w:val="20"/>
          <w:u w:val="single"/>
          <w:shd w:fill="FFFFFF" w:val="clear"/>
        </w:rPr>
        <w:t>Section 5</w:t>
      </w:r>
      <w:r>
        <w:rPr>
          <w:color w:val="000000"/>
          <w:shd w:fill="FFFFFF" w:val="clear"/>
        </w:rPr>
        <w:t xml:space="preserve"> </w:t>
      </w:r>
      <w:r>
        <w:rPr>
          <w:rFonts w:ascii="Times New Roman;serif" w:hAnsi="Times New Roman;serif"/>
          <w:b w:val="false"/>
          <w:color w:val="000000"/>
          <w:sz w:val="20"/>
          <w:shd w:fill="FFFFFF" w:val="clear"/>
        </w:rPr>
        <w:t xml:space="preserve">of this Plan. </w:t>
      </w:r>
    </w:p>
    <w:p>
      <w:pPr>
        <w:pStyle w:val="TextBody"/>
        <w:bidi w:val="0"/>
        <w:spacing w:lineRule="auto" w:line="288" w:before="120" w:after="120"/>
        <w:ind w:left="0" w:right="0" w:firstLine="400"/>
        <w:jc w:val="both"/>
        <w:rPr>
          <w:shd w:fill="FFFFFF" w:val="clear"/>
        </w:rPr>
      </w:pPr>
      <w:r>
        <w:rPr>
          <w:rFonts w:ascii="Times New Roman;serif" w:hAnsi="Times New Roman;serif"/>
          <w:b w:val="false"/>
          <w:color w:val="000000"/>
          <w:sz w:val="20"/>
          <w:shd w:fill="FFFFFF" w:val="clear"/>
        </w:rPr>
        <w:t>(b) “</w:t>
      </w:r>
      <w:r>
        <w:rPr>
          <w:rFonts w:ascii="Times New Roman;serif" w:hAnsi="Times New Roman;serif"/>
          <w:b w:val="false"/>
          <w:color w:val="000000"/>
          <w:sz w:val="20"/>
          <w:u w:val="single"/>
          <w:shd w:fill="FFFFFF" w:val="clear"/>
        </w:rPr>
        <w:t>Base Price</w:t>
      </w:r>
      <w:r>
        <w:rPr>
          <w:color w:val="000000"/>
          <w:shd w:fill="FFFFFF" w:val="clear"/>
        </w:rPr>
        <w:t xml:space="preserve">” </w:t>
      </w:r>
      <w:r>
        <w:rPr>
          <w:rFonts w:ascii="Times New Roman;serif" w:hAnsi="Times New Roman;serif"/>
          <w:b w:val="false"/>
          <w:color w:val="000000"/>
          <w:sz w:val="20"/>
          <w:shd w:fill="FFFFFF" w:val="clear"/>
        </w:rPr>
        <w:t xml:space="preserve">means the price to be used as the basis for determining the Spread upon the exercise of an Appreciation Right. </w:t>
      </w:r>
    </w:p>
    <w:p>
      <w:pPr>
        <w:pStyle w:val="TextBody"/>
        <w:bidi w:val="0"/>
        <w:spacing w:lineRule="auto" w:line="288" w:before="120" w:after="120"/>
        <w:ind w:left="0" w:right="0" w:firstLine="400"/>
        <w:jc w:val="both"/>
        <w:rPr>
          <w:shd w:fill="FFFFFF" w:val="clear"/>
        </w:rPr>
      </w:pPr>
      <w:r>
        <w:rPr>
          <w:rFonts w:ascii="Times New Roman;serif" w:hAnsi="Times New Roman;serif"/>
          <w:b w:val="false"/>
          <w:color w:val="000000"/>
          <w:sz w:val="20"/>
          <w:shd w:fill="FFFFFF" w:val="clear"/>
        </w:rPr>
        <w:t>(c) “</w:t>
      </w:r>
      <w:r>
        <w:rPr>
          <w:rFonts w:ascii="Times New Roman;serif" w:hAnsi="Times New Roman;serif"/>
          <w:b w:val="false"/>
          <w:color w:val="000000"/>
          <w:sz w:val="20"/>
          <w:u w:val="single"/>
          <w:shd w:fill="FFFFFF" w:val="clear"/>
        </w:rPr>
        <w:t>BCA</w:t>
      </w:r>
      <w:r>
        <w:rPr>
          <w:color w:val="000000"/>
          <w:shd w:fill="FFFFFF" w:val="clear"/>
        </w:rPr>
        <w:t xml:space="preserve">” </w:t>
      </w:r>
      <w:r>
        <w:rPr>
          <w:rFonts w:ascii="Times New Roman;serif" w:hAnsi="Times New Roman;serif"/>
          <w:b w:val="false"/>
          <w:color w:val="000000"/>
          <w:sz w:val="20"/>
          <w:shd w:fill="FFFFFF" w:val="clear"/>
        </w:rPr>
        <w:t xml:space="preserve">means the Business Combination Agreement, dated as of October 24, 2023, by and among Learn SPAC HoldCo, Inc., Learn CW Investment Corporation, LCW Merger Sub, Inc., Innventure LLC, and Innventure Merger Sub, LLC. </w:t>
      </w:r>
    </w:p>
    <w:p>
      <w:pPr>
        <w:pStyle w:val="TextBody"/>
        <w:bidi w:val="0"/>
        <w:spacing w:lineRule="auto" w:line="288" w:before="120" w:after="120"/>
        <w:ind w:left="0" w:right="0" w:firstLine="400"/>
        <w:jc w:val="left"/>
        <w:rPr>
          <w:shd w:fill="FFFFFF" w:val="clear"/>
        </w:rPr>
      </w:pPr>
      <w:r>
        <w:rPr>
          <w:rFonts w:ascii="Times New Roman;serif" w:hAnsi="Times New Roman;serif"/>
          <w:b w:val="false"/>
          <w:color w:val="000000"/>
          <w:sz w:val="20"/>
          <w:shd w:fill="FFFFFF" w:val="clear"/>
        </w:rPr>
        <w:t>(d) “</w:t>
      </w:r>
      <w:r>
        <w:rPr>
          <w:rFonts w:ascii="Times New Roman;serif" w:hAnsi="Times New Roman;serif"/>
          <w:b w:val="false"/>
          <w:color w:val="000000"/>
          <w:sz w:val="20"/>
          <w:u w:val="single"/>
          <w:shd w:fill="FFFFFF" w:val="clear"/>
        </w:rPr>
        <w:t>Board</w:t>
      </w:r>
      <w:r>
        <w:rPr>
          <w:color w:val="000000"/>
          <w:shd w:fill="FFFFFF" w:val="clear"/>
        </w:rPr>
        <w:t xml:space="preserve">” </w:t>
      </w:r>
      <w:r>
        <w:rPr>
          <w:rFonts w:ascii="Times New Roman;serif" w:hAnsi="Times New Roman;serif"/>
          <w:b w:val="false"/>
          <w:color w:val="000000"/>
          <w:sz w:val="20"/>
          <w:shd w:fill="FFFFFF" w:val="clear"/>
        </w:rPr>
        <w:t xml:space="preserve">means the Board of Directors of the Company. </w:t>
      </w:r>
    </w:p>
    <w:p>
      <w:pPr>
        <w:pStyle w:val="TextBody"/>
        <w:bidi w:val="0"/>
        <w:spacing w:lineRule="auto" w:line="288" w:before="120" w:after="120"/>
        <w:ind w:left="0" w:right="0" w:firstLine="400"/>
        <w:jc w:val="left"/>
        <w:rPr>
          <w:shd w:fill="FFFFFF" w:val="clear"/>
        </w:rPr>
      </w:pPr>
      <w:r>
        <w:rPr>
          <w:rFonts w:ascii="Times New Roman;serif" w:hAnsi="Times New Roman;serif"/>
          <w:b w:val="false"/>
          <w:color w:val="000000"/>
          <w:sz w:val="20"/>
          <w:shd w:fill="FFFFFF" w:val="clear"/>
        </w:rPr>
        <w:t>(e) “</w:t>
      </w:r>
      <w:r>
        <w:rPr>
          <w:rFonts w:ascii="Times New Roman;serif" w:hAnsi="Times New Roman;serif"/>
          <w:b w:val="false"/>
          <w:color w:val="000000"/>
          <w:sz w:val="20"/>
          <w:u w:val="single"/>
          <w:shd w:fill="FFFFFF" w:val="clear"/>
        </w:rPr>
        <w:t>Cash Incentive Award</w:t>
      </w:r>
      <w:r>
        <w:rPr>
          <w:color w:val="000000"/>
          <w:shd w:fill="FFFFFF" w:val="clear"/>
        </w:rPr>
        <w:t xml:space="preserve">” </w:t>
      </w:r>
      <w:r>
        <w:rPr>
          <w:rFonts w:ascii="Times New Roman;serif" w:hAnsi="Times New Roman;serif"/>
          <w:b w:val="false"/>
          <w:color w:val="000000"/>
          <w:sz w:val="20"/>
          <w:shd w:fill="FFFFFF" w:val="clear"/>
        </w:rPr>
        <w:t xml:space="preserve">means a cash award granted pursuant to </w:t>
      </w:r>
      <w:r>
        <w:rPr>
          <w:rFonts w:ascii="Times New Roman;serif" w:hAnsi="Times New Roman;serif"/>
          <w:b/>
          <w:color w:val="000000"/>
          <w:sz w:val="20"/>
          <w:u w:val="single"/>
          <w:shd w:fill="FFFFFF" w:val="clear"/>
        </w:rPr>
        <w:t>Section 8</w:t>
      </w:r>
      <w:r>
        <w:rPr>
          <w:color w:val="000000"/>
          <w:shd w:fill="FFFFFF" w:val="clear"/>
        </w:rPr>
        <w:t xml:space="preserve"> </w:t>
      </w:r>
      <w:r>
        <w:rPr>
          <w:rFonts w:ascii="Times New Roman;serif" w:hAnsi="Times New Roman;serif"/>
          <w:b w:val="false"/>
          <w:color w:val="000000"/>
          <w:sz w:val="20"/>
          <w:shd w:fill="FFFFFF" w:val="clear"/>
        </w:rPr>
        <w:t xml:space="preserve">of this Plan. </w:t>
      </w:r>
    </w:p>
    <w:p>
      <w:pPr>
        <w:pStyle w:val="TextBody"/>
        <w:bidi w:val="0"/>
        <w:spacing w:lineRule="auto" w:line="288" w:before="120" w:after="120"/>
        <w:ind w:left="0" w:right="0" w:firstLine="400"/>
        <w:jc w:val="left"/>
        <w:rPr>
          <w:shd w:fill="FFFFFF" w:val="clear"/>
        </w:rPr>
      </w:pPr>
      <w:r>
        <w:rPr>
          <w:rFonts w:ascii="Times New Roman;serif" w:hAnsi="Times New Roman;serif"/>
          <w:b w:val="false"/>
          <w:color w:val="000000"/>
          <w:sz w:val="20"/>
          <w:shd w:fill="FFFFFF" w:val="clear"/>
        </w:rPr>
        <w:t>(f) “</w:t>
      </w:r>
      <w:r>
        <w:rPr>
          <w:rFonts w:ascii="Times New Roman;serif" w:hAnsi="Times New Roman;serif"/>
          <w:b w:val="false"/>
          <w:color w:val="000000"/>
          <w:sz w:val="20"/>
          <w:u w:val="single"/>
          <w:shd w:fill="FFFFFF" w:val="clear"/>
        </w:rPr>
        <w:t>Change in Control</w:t>
      </w:r>
      <w:r>
        <w:rPr>
          <w:color w:val="000000"/>
          <w:shd w:fill="FFFFFF" w:val="clear"/>
        </w:rPr>
        <w:t xml:space="preserve">” </w:t>
      </w:r>
      <w:r>
        <w:rPr>
          <w:rFonts w:ascii="Times New Roman;serif" w:hAnsi="Times New Roman;serif"/>
          <w:b w:val="false"/>
          <w:color w:val="000000"/>
          <w:sz w:val="20"/>
          <w:shd w:fill="FFFFFF" w:val="clear"/>
        </w:rPr>
        <w:t xml:space="preserve">has the meaning set forth in </w:t>
      </w:r>
      <w:r>
        <w:rPr>
          <w:rFonts w:ascii="Times New Roman;serif" w:hAnsi="Times New Roman;serif"/>
          <w:b/>
          <w:color w:val="000000"/>
          <w:sz w:val="20"/>
          <w:u w:val="single"/>
          <w:shd w:fill="FFFFFF" w:val="clear"/>
        </w:rPr>
        <w:t>Section 12</w:t>
      </w:r>
      <w:r>
        <w:rPr>
          <w:color w:val="000000"/>
          <w:shd w:fill="FFFFFF" w:val="clear"/>
        </w:rPr>
        <w:t xml:space="preserve"> </w:t>
      </w:r>
      <w:r>
        <w:rPr>
          <w:rFonts w:ascii="Times New Roman;serif" w:hAnsi="Times New Roman;serif"/>
          <w:b w:val="false"/>
          <w:color w:val="000000"/>
          <w:sz w:val="20"/>
          <w:shd w:fill="FFFFFF" w:val="clear"/>
        </w:rPr>
        <w:t xml:space="preserve">of this Plan. </w:t>
      </w:r>
    </w:p>
    <w:p>
      <w:pPr>
        <w:pStyle w:val="TextBody"/>
        <w:bidi w:val="0"/>
        <w:spacing w:lineRule="auto" w:line="288" w:before="120" w:after="120"/>
        <w:ind w:left="0" w:right="0" w:firstLine="400"/>
        <w:jc w:val="both"/>
        <w:rPr>
          <w:shd w:fill="FFFFFF" w:val="clear"/>
        </w:rPr>
      </w:pPr>
      <w:r>
        <w:rPr>
          <w:rFonts w:ascii="Times New Roman;serif" w:hAnsi="Times New Roman;serif"/>
          <w:b w:val="false"/>
          <w:color w:val="000000"/>
          <w:sz w:val="20"/>
          <w:shd w:fill="FFFFFF" w:val="clear"/>
        </w:rPr>
        <w:t>(g) “</w:t>
      </w:r>
      <w:r>
        <w:rPr>
          <w:rFonts w:ascii="Times New Roman;serif" w:hAnsi="Times New Roman;serif"/>
          <w:b w:val="false"/>
          <w:color w:val="000000"/>
          <w:sz w:val="20"/>
          <w:u w:val="single"/>
          <w:shd w:fill="FFFFFF" w:val="clear"/>
        </w:rPr>
        <w:t>Code</w:t>
      </w:r>
      <w:r>
        <w:rPr>
          <w:color w:val="000000"/>
          <w:shd w:fill="FFFFFF" w:val="clear"/>
        </w:rPr>
        <w:t xml:space="preserve">” </w:t>
      </w:r>
      <w:r>
        <w:rPr>
          <w:rFonts w:ascii="Times New Roman;serif" w:hAnsi="Times New Roman;serif"/>
          <w:b w:val="false"/>
          <w:color w:val="000000"/>
          <w:sz w:val="20"/>
          <w:shd w:fill="FFFFFF" w:val="clear"/>
        </w:rPr>
        <w:t xml:space="preserve">means the Internal Revenue Code of 1986, as amended from time to time, and the regulations thereunder, as such law and regulations may be amended from time to time. </w:t>
      </w:r>
    </w:p>
    <w:p>
      <w:pPr>
        <w:pStyle w:val="TextBody"/>
        <w:bidi w:val="0"/>
        <w:spacing w:lineRule="auto" w:line="288" w:before="120" w:after="120"/>
        <w:ind w:left="0" w:right="0" w:firstLine="400"/>
        <w:jc w:val="both"/>
        <w:rPr>
          <w:shd w:fill="FFFFFF" w:val="clear"/>
        </w:rPr>
      </w:pPr>
      <w:r>
        <w:rPr>
          <w:rFonts w:ascii="Times New Roman;serif" w:hAnsi="Times New Roman;serif"/>
          <w:b w:val="false"/>
          <w:color w:val="000000"/>
          <w:sz w:val="20"/>
          <w:shd w:fill="FFFFFF" w:val="clear"/>
        </w:rPr>
        <w:t>(h) “</w:t>
      </w:r>
      <w:r>
        <w:rPr>
          <w:rFonts w:ascii="Times New Roman;serif" w:hAnsi="Times New Roman;serif"/>
          <w:b w:val="false"/>
          <w:color w:val="000000"/>
          <w:sz w:val="20"/>
          <w:u w:val="single"/>
          <w:shd w:fill="FFFFFF" w:val="clear"/>
        </w:rPr>
        <w:t>Committee</w:t>
      </w:r>
      <w:r>
        <w:rPr>
          <w:color w:val="000000"/>
          <w:shd w:fill="FFFFFF" w:val="clear"/>
        </w:rPr>
        <w:t xml:space="preserve">” </w:t>
      </w:r>
      <w:r>
        <w:rPr>
          <w:rFonts w:ascii="Times New Roman;serif" w:hAnsi="Times New Roman;serif"/>
          <w:b w:val="false"/>
          <w:color w:val="000000"/>
          <w:sz w:val="20"/>
          <w:shd w:fill="FFFFFF" w:val="clear"/>
        </w:rPr>
        <w:t>means the Compensation Committee</w:t>
      </w:r>
      <w:r>
        <w:rPr>
          <w:color w:val="000000"/>
          <w:shd w:fill="FFFFFF" w:val="clear"/>
        </w:rPr>
        <w:t> </w:t>
      </w:r>
      <w:r>
        <w:rPr>
          <w:rFonts w:ascii="Times New Roman;serif" w:hAnsi="Times New Roman;serif"/>
          <w:b w:val="false"/>
          <w:color w:val="000000"/>
          <w:sz w:val="20"/>
          <w:shd w:fill="FFFFFF" w:val="clear"/>
        </w:rPr>
        <w:t xml:space="preserve">of the Board (or its successor(s)), or any other committee of the Board designated by the Board to administer this Plan pursuant to </w:t>
      </w:r>
      <w:r>
        <w:rPr>
          <w:rFonts w:ascii="Times New Roman;serif" w:hAnsi="Times New Roman;serif"/>
          <w:b/>
          <w:color w:val="000000"/>
          <w:sz w:val="20"/>
          <w:u w:val="single"/>
          <w:shd w:fill="FFFFFF" w:val="clear"/>
        </w:rPr>
        <w:t>Section 10</w:t>
      </w:r>
      <w:r>
        <w:rPr>
          <w:color w:val="000000"/>
          <w:shd w:fill="FFFFFF" w:val="clear"/>
        </w:rPr>
        <w:t xml:space="preserve"> </w:t>
      </w:r>
      <w:r>
        <w:rPr>
          <w:rFonts w:ascii="Times New Roman;serif" w:hAnsi="Times New Roman;serif"/>
          <w:b w:val="false"/>
          <w:color w:val="000000"/>
          <w:sz w:val="20"/>
          <w:shd w:fill="FFFFFF" w:val="clear"/>
        </w:rPr>
        <w:t xml:space="preserve">of this Plan. </w:t>
      </w:r>
    </w:p>
    <w:p>
      <w:pPr>
        <w:pStyle w:val="TextBody"/>
        <w:bidi w:val="0"/>
        <w:spacing w:lineRule="auto" w:line="288" w:before="120" w:after="120"/>
        <w:ind w:left="0" w:right="0" w:firstLine="400"/>
        <w:jc w:val="both"/>
        <w:rPr>
          <w:shd w:fill="FFFFFF" w:val="clear"/>
        </w:rPr>
      </w:pPr>
      <w:r>
        <w:rPr>
          <w:rFonts w:ascii="Times New Roman;serif" w:hAnsi="Times New Roman;serif"/>
          <w:b w:val="false"/>
          <w:color w:val="000000"/>
          <w:sz w:val="20"/>
          <w:shd w:fill="FFFFFF" w:val="clear"/>
        </w:rPr>
        <w:t>(i) “</w:t>
      </w:r>
      <w:r>
        <w:rPr>
          <w:rFonts w:ascii="Times New Roman;serif" w:hAnsi="Times New Roman;serif"/>
          <w:b w:val="false"/>
          <w:color w:val="000000"/>
          <w:sz w:val="20"/>
          <w:u w:val="single"/>
          <w:shd w:fill="FFFFFF" w:val="clear"/>
        </w:rPr>
        <w:t>Common Stock</w:t>
      </w:r>
      <w:r>
        <w:rPr>
          <w:color w:val="000000"/>
          <w:shd w:fill="FFFFFF" w:val="clear"/>
        </w:rPr>
        <w:t xml:space="preserve">” </w:t>
      </w:r>
      <w:r>
        <w:rPr>
          <w:rFonts w:ascii="Times New Roman;serif" w:hAnsi="Times New Roman;serif"/>
          <w:b w:val="false"/>
          <w:color w:val="000000"/>
          <w:sz w:val="20"/>
          <w:shd w:fill="FFFFFF" w:val="clear"/>
        </w:rPr>
        <w:t xml:space="preserve">means the common stock, par value $0.0001 per share, of the Company or any security into which such common stock may be changed by reason of any transaction or event of the type referred to in </w:t>
      </w:r>
      <w:r>
        <w:rPr>
          <w:rFonts w:ascii="Times New Roman;serif" w:hAnsi="Times New Roman;serif"/>
          <w:b/>
          <w:color w:val="000000"/>
          <w:sz w:val="20"/>
          <w:u w:val="single"/>
          <w:shd w:fill="FFFFFF" w:val="clear"/>
        </w:rPr>
        <w:t>Section 11</w:t>
      </w:r>
      <w:r>
        <w:rPr>
          <w:color w:val="000000"/>
          <w:shd w:fill="FFFFFF" w:val="clear"/>
        </w:rPr>
        <w:t xml:space="preserve"> </w:t>
      </w:r>
      <w:r>
        <w:rPr>
          <w:rFonts w:ascii="Times New Roman;serif" w:hAnsi="Times New Roman;serif"/>
          <w:b w:val="false"/>
          <w:color w:val="000000"/>
          <w:sz w:val="20"/>
          <w:shd w:fill="FFFFFF" w:val="clear"/>
        </w:rPr>
        <w:t xml:space="preserve">of this Plan. </w:t>
      </w:r>
    </w:p>
    <w:p>
      <w:pPr>
        <w:pStyle w:val="TextBody"/>
        <w:bidi w:val="0"/>
        <w:spacing w:lineRule="auto" w:line="288" w:before="120" w:after="120"/>
        <w:ind w:left="0" w:right="0" w:firstLine="400"/>
        <w:jc w:val="left"/>
        <w:rPr>
          <w:shd w:fill="FFFFFF" w:val="clear"/>
        </w:rPr>
      </w:pPr>
      <w:r>
        <w:rPr>
          <w:rFonts w:ascii="Times New Roman;serif" w:hAnsi="Times New Roman;serif"/>
          <w:b w:val="false"/>
          <w:color w:val="000000"/>
          <w:sz w:val="20"/>
          <w:shd w:fill="FFFFFF" w:val="clear"/>
        </w:rPr>
        <w:t>(j) “</w:t>
      </w:r>
      <w:r>
        <w:rPr>
          <w:rFonts w:ascii="Times New Roman;serif" w:hAnsi="Times New Roman;serif"/>
          <w:b w:val="false"/>
          <w:color w:val="000000"/>
          <w:sz w:val="20"/>
          <w:u w:val="single"/>
          <w:shd w:fill="FFFFFF" w:val="clear"/>
        </w:rPr>
        <w:t>Company</w:t>
      </w:r>
      <w:r>
        <w:rPr>
          <w:color w:val="000000"/>
          <w:shd w:fill="FFFFFF" w:val="clear"/>
        </w:rPr>
        <w:t xml:space="preserve">” </w:t>
      </w:r>
      <w:r>
        <w:rPr>
          <w:rFonts w:ascii="Times New Roman;serif" w:hAnsi="Times New Roman;serif"/>
          <w:b w:val="false"/>
          <w:color w:val="000000"/>
          <w:sz w:val="20"/>
          <w:shd w:fill="FFFFFF" w:val="clear"/>
        </w:rPr>
        <w:t>means Innventure, Inc., a</w:t>
      </w:r>
      <w:r>
        <w:rPr>
          <w:color w:val="000000"/>
          <w:shd w:fill="FFFFFF" w:val="clear"/>
        </w:rPr>
        <w:t> </w:t>
      </w:r>
      <w:r>
        <w:rPr>
          <w:rFonts w:ascii="Times New Roman;serif" w:hAnsi="Times New Roman;serif"/>
          <w:b w:val="false"/>
          <w:color w:val="000000"/>
          <w:sz w:val="20"/>
          <w:shd w:fill="FFFFFF" w:val="clear"/>
        </w:rPr>
        <w:t xml:space="preserve">Delaware corporation, and its successors. </w:t>
      </w:r>
    </w:p>
    <w:p>
      <w:pPr>
        <w:pStyle w:val="TextBody"/>
        <w:bidi w:val="0"/>
        <w:spacing w:lineRule="auto" w:line="288" w:before="120" w:after="120"/>
        <w:ind w:left="0" w:right="0" w:firstLine="400"/>
        <w:jc w:val="both"/>
        <w:rPr>
          <w:shd w:fill="FFFFFF" w:val="clear"/>
        </w:rPr>
      </w:pPr>
      <w:r>
        <w:rPr>
          <w:rFonts w:ascii="Times New Roman;serif" w:hAnsi="Times New Roman;serif"/>
          <w:b w:val="false"/>
          <w:color w:val="000000"/>
          <w:sz w:val="20"/>
          <w:shd w:fill="FFFFFF" w:val="clear"/>
        </w:rPr>
        <w:t>(k) “</w:t>
      </w:r>
      <w:r>
        <w:rPr>
          <w:rFonts w:ascii="Times New Roman;serif" w:hAnsi="Times New Roman;serif"/>
          <w:b w:val="false"/>
          <w:color w:val="000000"/>
          <w:sz w:val="20"/>
          <w:u w:val="single"/>
          <w:shd w:fill="FFFFFF" w:val="clear"/>
        </w:rPr>
        <w:t>Date of Grant</w:t>
      </w:r>
      <w:r>
        <w:rPr>
          <w:color w:val="000000"/>
          <w:shd w:fill="FFFFFF" w:val="clear"/>
        </w:rPr>
        <w:t xml:space="preserve">” </w:t>
      </w:r>
      <w:r>
        <w:rPr>
          <w:rFonts w:ascii="Times New Roman;serif" w:hAnsi="Times New Roman;serif"/>
          <w:b w:val="false"/>
          <w:color w:val="000000"/>
          <w:sz w:val="20"/>
          <w:shd w:fill="FFFFFF" w:val="clear"/>
        </w:rPr>
        <w:t xml:space="preserve">means the date provided for by the Committee on which a grant of Option Rights, Appreciation Rights, Performance Shares, Performance Units, Cash Incentive Awards, or other awards contemplated by </w:t>
      </w:r>
      <w:r>
        <w:rPr>
          <w:rFonts w:ascii="Times New Roman;serif" w:hAnsi="Times New Roman;serif"/>
          <w:b/>
          <w:color w:val="000000"/>
          <w:sz w:val="20"/>
          <w:u w:val="single"/>
          <w:shd w:fill="FFFFFF" w:val="clear"/>
        </w:rPr>
        <w:t>Section 9</w:t>
      </w:r>
      <w:r>
        <w:rPr>
          <w:color w:val="000000"/>
          <w:shd w:fill="FFFFFF" w:val="clear"/>
        </w:rPr>
        <w:t xml:space="preserve"> </w:t>
      </w:r>
      <w:r>
        <w:rPr>
          <w:rFonts w:ascii="Times New Roman;serif" w:hAnsi="Times New Roman;serif"/>
          <w:b w:val="false"/>
          <w:color w:val="000000"/>
          <w:sz w:val="20"/>
          <w:shd w:fill="FFFFFF" w:val="clear"/>
        </w:rPr>
        <w:t xml:space="preserve">of this Plan, or a grant or sale of Restricted Stock, Restricted Stock Units, or other awards contemplated by </w:t>
      </w:r>
      <w:r>
        <w:rPr>
          <w:rFonts w:ascii="Times New Roman;serif" w:hAnsi="Times New Roman;serif"/>
          <w:b/>
          <w:color w:val="000000"/>
          <w:sz w:val="20"/>
          <w:u w:val="single"/>
          <w:shd w:fill="FFFFFF" w:val="clear"/>
        </w:rPr>
        <w:t>Section 9</w:t>
      </w:r>
      <w:r>
        <w:rPr>
          <w:color w:val="000000"/>
          <w:shd w:fill="FFFFFF" w:val="clear"/>
        </w:rPr>
        <w:t xml:space="preserve"> </w:t>
      </w:r>
      <w:r>
        <w:rPr>
          <w:rFonts w:ascii="Times New Roman;serif" w:hAnsi="Times New Roman;serif"/>
          <w:b w:val="false"/>
          <w:color w:val="000000"/>
          <w:sz w:val="20"/>
          <w:shd w:fill="FFFFFF" w:val="clear"/>
        </w:rPr>
        <w:t xml:space="preserve">of this Plan, will become effective (which date will not be earlier than the date on which the Committee takes action with respect thereto). </w:t>
      </w:r>
    </w:p>
    <w:p>
      <w:pPr>
        <w:pStyle w:val="TextBody"/>
        <w:bidi w:val="0"/>
        <w:spacing w:lineRule="auto" w:line="288" w:before="120" w:after="120"/>
        <w:ind w:left="0" w:right="0" w:firstLine="400"/>
        <w:jc w:val="left"/>
        <w:rPr>
          <w:shd w:fill="FFFFFF" w:val="clear"/>
        </w:rPr>
      </w:pPr>
      <w:r>
        <w:rPr>
          <w:rFonts w:ascii="Times New Roman;serif" w:hAnsi="Times New Roman;serif"/>
          <w:b w:val="false"/>
          <w:color w:val="000000"/>
          <w:sz w:val="20"/>
          <w:shd w:fill="FFFFFF" w:val="clear"/>
        </w:rPr>
        <w:t>(l) “</w:t>
      </w:r>
      <w:r>
        <w:rPr>
          <w:rFonts w:ascii="Times New Roman;serif" w:hAnsi="Times New Roman;serif"/>
          <w:b w:val="false"/>
          <w:color w:val="000000"/>
          <w:sz w:val="20"/>
          <w:u w:val="single"/>
          <w:shd w:fill="FFFFFF" w:val="clear"/>
        </w:rPr>
        <w:t>Director</w:t>
      </w:r>
      <w:r>
        <w:rPr>
          <w:color w:val="000000"/>
          <w:shd w:fill="FFFFFF" w:val="clear"/>
        </w:rPr>
        <w:t xml:space="preserve">” </w:t>
      </w:r>
      <w:r>
        <w:rPr>
          <w:rFonts w:ascii="Times New Roman;serif" w:hAnsi="Times New Roman;serif"/>
          <w:b w:val="false"/>
          <w:color w:val="000000"/>
          <w:sz w:val="20"/>
          <w:shd w:fill="FFFFFF" w:val="clear"/>
        </w:rPr>
        <w:t xml:space="preserve">means a member of the Board. </w:t>
      </w:r>
    </w:p>
    <w:p>
      <w:pPr>
        <w:pStyle w:val="TextBody"/>
        <w:bidi w:val="0"/>
        <w:spacing w:lineRule="auto" w:line="288" w:before="120" w:after="120"/>
        <w:ind w:left="0" w:right="0" w:firstLine="400"/>
        <w:jc w:val="both"/>
        <w:rPr>
          <w:shd w:fill="FFFFFF" w:val="clear"/>
        </w:rPr>
      </w:pPr>
      <w:r>
        <w:rPr>
          <w:rFonts w:ascii="Times New Roman;serif" w:hAnsi="Times New Roman;serif"/>
          <w:b w:val="false"/>
          <w:color w:val="000000"/>
          <w:sz w:val="20"/>
          <w:shd w:fill="FFFFFF" w:val="clear"/>
        </w:rPr>
        <w:t>(m) “</w:t>
      </w:r>
      <w:r>
        <w:rPr>
          <w:rFonts w:ascii="Times New Roman;serif" w:hAnsi="Times New Roman;serif"/>
          <w:b w:val="false"/>
          <w:color w:val="000000"/>
          <w:sz w:val="20"/>
          <w:u w:val="single"/>
          <w:shd w:fill="FFFFFF" w:val="clear"/>
        </w:rPr>
        <w:t>Effective Date</w:t>
      </w:r>
      <w:r>
        <w:rPr>
          <w:color w:val="000000"/>
          <w:shd w:fill="FFFFFF" w:val="clear"/>
        </w:rPr>
        <w:t xml:space="preserve">” </w:t>
      </w:r>
      <w:r>
        <w:rPr>
          <w:rFonts w:ascii="Times New Roman;serif" w:hAnsi="Times New Roman;serif"/>
          <w:b w:val="false"/>
          <w:color w:val="000000"/>
          <w:sz w:val="20"/>
          <w:shd w:fill="FFFFFF" w:val="clear"/>
        </w:rPr>
        <w:t xml:space="preserve">means the date on which the transactions contemplated by the BCA are consummated, subject to approval of this Plan by the Stockholders on or prior to such date. </w:t>
      </w:r>
    </w:p>
    <w:p>
      <w:pPr>
        <w:pStyle w:val="TextBody"/>
        <w:bidi w:val="0"/>
        <w:spacing w:lineRule="auto" w:line="288" w:before="120" w:after="120"/>
        <w:ind w:left="0" w:right="0" w:firstLine="400"/>
        <w:jc w:val="both"/>
        <w:rPr>
          <w:shd w:fill="FFFFFF" w:val="clear"/>
        </w:rPr>
      </w:pPr>
      <w:r>
        <w:rPr>
          <w:rFonts w:ascii="Times New Roman;serif" w:hAnsi="Times New Roman;serif"/>
          <w:b w:val="false"/>
          <w:color w:val="000000"/>
          <w:sz w:val="20"/>
          <w:shd w:fill="FFFFFF" w:val="clear"/>
        </w:rPr>
        <w:t>(n) “</w:t>
      </w:r>
      <w:r>
        <w:rPr>
          <w:rFonts w:ascii="Times New Roman;serif" w:hAnsi="Times New Roman;serif"/>
          <w:b w:val="false"/>
          <w:color w:val="000000"/>
          <w:sz w:val="20"/>
          <w:u w:val="single"/>
          <w:shd w:fill="FFFFFF" w:val="clear"/>
        </w:rPr>
        <w:t>Evidence of Award</w:t>
      </w:r>
      <w:r>
        <w:rPr>
          <w:color w:val="000000"/>
          <w:shd w:fill="FFFFFF" w:val="clear"/>
        </w:rPr>
        <w:t xml:space="preserve">” </w:t>
      </w:r>
      <w:r>
        <w:rPr>
          <w:rFonts w:ascii="Times New Roman;serif" w:hAnsi="Times New Roman;serif"/>
          <w:b w:val="false"/>
          <w:color w:val="000000"/>
          <w:sz w:val="20"/>
          <w:shd w:fill="FFFFFF" w:val="clear"/>
        </w:rPr>
        <w:t xml:space="preserve">means an agreement, certificate, resolution or other type or form of writing or other evidence approved by the Committee that sets forth the terms and conditions of the awards granted under this Plan. An Evidence of Award may be in an electronic medium, may be limited to notation on the books and records of the Company and, unless otherwise determined by the Committee, need not be signed by a representative of the Company or a Participant. </w:t>
      </w:r>
    </w:p>
    <w:p>
      <w:pPr>
        <w:pStyle w:val="TextBody"/>
        <w:bidi w:val="0"/>
        <w:spacing w:lineRule="auto" w:line="288" w:before="120" w:after="120"/>
        <w:ind w:left="0" w:right="0" w:firstLine="400"/>
        <w:jc w:val="both"/>
        <w:rPr>
          <w:shd w:fill="FFFFFF" w:val="clear"/>
        </w:rPr>
      </w:pPr>
      <w:r>
        <w:rPr>
          <w:rFonts w:ascii="Times New Roman;serif" w:hAnsi="Times New Roman;serif"/>
          <w:b w:val="false"/>
          <w:color w:val="000000"/>
          <w:sz w:val="20"/>
          <w:shd w:fill="FFFFFF" w:val="clear"/>
        </w:rPr>
        <w:t>(o) “</w:t>
      </w:r>
      <w:r>
        <w:rPr>
          <w:rFonts w:ascii="Times New Roman;serif" w:hAnsi="Times New Roman;serif"/>
          <w:b w:val="false"/>
          <w:color w:val="000000"/>
          <w:sz w:val="20"/>
          <w:u w:val="single"/>
          <w:shd w:fill="FFFFFF" w:val="clear"/>
        </w:rPr>
        <w:t>Exchange Act</w:t>
      </w:r>
      <w:r>
        <w:rPr>
          <w:color w:val="000000"/>
          <w:shd w:fill="FFFFFF" w:val="clear"/>
        </w:rPr>
        <w:t xml:space="preserve">” </w:t>
      </w:r>
      <w:r>
        <w:rPr>
          <w:rFonts w:ascii="Times New Roman;serif" w:hAnsi="Times New Roman;serif"/>
          <w:b w:val="false"/>
          <w:color w:val="000000"/>
          <w:sz w:val="20"/>
          <w:shd w:fill="FFFFFF" w:val="clear"/>
        </w:rPr>
        <w:t xml:space="preserve">means the Securities Exchange Act of 1934, as amended from time to time, and the rules and regulations thereunder, as such law, rules and regulations may be amended from time to time. </w:t>
      </w:r>
    </w:p>
    <w:p>
      <w:pPr>
        <w:pStyle w:val="TextBody"/>
        <w:bidi w:val="0"/>
        <w:spacing w:lineRule="auto" w:line="288" w:before="120" w:after="120"/>
        <w:ind w:left="0" w:right="0" w:firstLine="400"/>
        <w:jc w:val="both"/>
        <w:rPr>
          <w:shd w:fill="FFFFFF" w:val="clear"/>
        </w:rPr>
      </w:pPr>
      <w:r>
        <w:rPr>
          <w:rFonts w:ascii="Times New Roman;serif" w:hAnsi="Times New Roman;serif"/>
          <w:b w:val="false"/>
          <w:color w:val="000000"/>
          <w:sz w:val="20"/>
          <w:shd w:fill="FFFFFF" w:val="clear"/>
        </w:rPr>
        <w:t>(p) “</w:t>
      </w:r>
      <w:r>
        <w:rPr>
          <w:rFonts w:ascii="Times New Roman;serif" w:hAnsi="Times New Roman;serif"/>
          <w:b w:val="false"/>
          <w:color w:val="000000"/>
          <w:sz w:val="20"/>
          <w:u w:val="single"/>
          <w:shd w:fill="FFFFFF" w:val="clear"/>
        </w:rPr>
        <w:t>Incentive Stock Option</w:t>
      </w:r>
      <w:r>
        <w:rPr>
          <w:color w:val="000000"/>
          <w:shd w:fill="FFFFFF" w:val="clear"/>
        </w:rPr>
        <w:t xml:space="preserve">” </w:t>
      </w:r>
      <w:r>
        <w:rPr>
          <w:rFonts w:ascii="Times New Roman;serif" w:hAnsi="Times New Roman;serif"/>
          <w:b w:val="false"/>
          <w:color w:val="000000"/>
          <w:sz w:val="20"/>
          <w:shd w:fill="FFFFFF" w:val="clear"/>
        </w:rPr>
        <w:t xml:space="preserve">means an Option Right that meets the requirements of Section 422 of the Code or any successor provision and which is intended by the Committee to constitute an “incentive stock option” under Section 422 of the Code or any successor provision. </w:t>
      </w:r>
    </w:p>
    <w:p>
      <w:pPr>
        <w:pStyle w:val="TextBody"/>
        <w:bidi w:val="0"/>
        <w:spacing w:lineRule="auto" w:line="288" w:before="120" w:after="120"/>
        <w:ind w:left="0" w:right="0" w:firstLine="400"/>
        <w:jc w:val="both"/>
        <w:rPr>
          <w:shd w:fill="FFFFFF" w:val="clear"/>
        </w:rPr>
      </w:pPr>
      <w:r>
        <w:rPr>
          <w:rFonts w:ascii="Times New Roman;serif" w:hAnsi="Times New Roman;serif"/>
          <w:b w:val="false"/>
          <w:color w:val="000000"/>
          <w:sz w:val="20"/>
          <w:shd w:fill="FFFFFF" w:val="clear"/>
        </w:rPr>
        <w:t>(q) “</w:t>
      </w:r>
      <w:r>
        <w:rPr>
          <w:rFonts w:ascii="Times New Roman;serif" w:hAnsi="Times New Roman;serif"/>
          <w:b w:val="false"/>
          <w:color w:val="000000"/>
          <w:sz w:val="20"/>
          <w:u w:val="single"/>
          <w:shd w:fill="FFFFFF" w:val="clear"/>
        </w:rPr>
        <w:t>Management Objectives</w:t>
      </w:r>
      <w:r>
        <w:rPr>
          <w:color w:val="000000"/>
          <w:shd w:fill="FFFFFF" w:val="clear"/>
        </w:rPr>
        <w:t xml:space="preserve">” </w:t>
      </w:r>
      <w:r>
        <w:rPr>
          <w:rFonts w:ascii="Times New Roman;serif" w:hAnsi="Times New Roman;serif"/>
          <w:b w:val="false"/>
          <w:color w:val="000000"/>
          <w:sz w:val="20"/>
          <w:shd w:fill="FFFFFF" w:val="clear"/>
        </w:rPr>
        <w:t xml:space="preserve">means performance objective or objectives established pursuant to this Plan for Participants who have received grants of Performance Shares, Performance Units or Cash Incentive Awards or, when so determined by the Committee, Option Rights, Appreciation Rights, Restricted Stock, Restricted Stock Units, dividend equivalents or other awards pursuant to this Plan and include, but are not limited to, objectives related to earnings before interest, taxes, depreciation and amortization, income or net income (loss) (either before or </w:t>
      </w:r>
    </w:p>
    <w:p>
      <w:pPr>
        <w:pStyle w:val="TextBody"/>
        <w:bidi w:val="0"/>
        <w:spacing w:lineRule="auto" w:line="26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INNVENTURE, INC. </w:t>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41"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79.0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2024 EQUITY AND INCENTIVE COMPENSATION PLAN </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after interest, taxes, depreciation and/or amortization), earnings, changes in the market price of Common Stock, funds from operations or similar measures, sales, revenue (including recurring revenue), growth in revenue, enterprise value or economic value added, mergers, acquisitions or other strategic transactions, divestitures, financings, operating income (loss), cash flow (including, but not limited to, operating cash flow and free cash flow), return on capital, return on investments, assets, return on assets, net asset turnover, debt (including debt reduction), return on operating revenue, working capital, regulatory compliance, improvement of financial ratings, annual spend or license annual spend, equity investments, investing activities, financing activities, stockholder returns, dividend ratio, orders, return on sales, marketing, gross or net profit levels, productivity, volumes produced and/or transported, margins, leverage ratio, coverage ratio, strategic business objectives (including operating efficiency, geographic business expansion goals, partnerships, customer/client satisfaction, talent recruitment and retention, productivity ratios, product quality, sales of new products, employee turnover, supervision of information technology), operating efficiency, productivity, product innovation, number of customers, customer satisfaction and related metrics, individual performance, quality improvements, growth or growth rate, intellectual property, expenses or costs (including cost reduction programs), budget comparisons, implementation of projects or processes, formation of joint ventures, research and development collaborations, marketing or customer service collaborations, employee engagement and satisfaction, diversity, environmental and social measures, information technology, technology development, human resources management, litigation, research and development, working capital, earnings (loss) per share of Common Stock, market share or any combination of the foregoing, any of which may be measured either in absolute terms or as compared to any incremental increase or as compared to results of a peer group. If the Committee determines that a change in the business, operations, corporate structure or capital structure of the Company, or the manner in which it conducts its business, or other events or circumstances render the Management Objectives unsuitable, the Committee may in its discretion modify such Management Objectives or the goals or actual levels of achievement regarding the Management Objectives, in whole or in part, as the Committee deems appropriate and equitable. </w:t>
      </w:r>
    </w:p>
    <w:p>
      <w:pPr>
        <w:pStyle w:val="TextBody"/>
        <w:bidi w:val="0"/>
        <w:spacing w:lineRule="auto" w:line="288" w:before="120" w:after="120"/>
        <w:ind w:left="0" w:right="0" w:firstLine="400"/>
        <w:jc w:val="both"/>
        <w:rPr>
          <w:shd w:fill="FFFFFF" w:val="clear"/>
        </w:rPr>
      </w:pPr>
      <w:r>
        <w:rPr>
          <w:rFonts w:ascii="Times New Roman;serif" w:hAnsi="Times New Roman;serif"/>
          <w:b w:val="false"/>
          <w:color w:val="000000"/>
          <w:sz w:val="20"/>
          <w:shd w:fill="FFFFFF" w:val="clear"/>
        </w:rPr>
        <w:t>(r) “</w:t>
      </w:r>
      <w:r>
        <w:rPr>
          <w:rFonts w:ascii="Times New Roman;serif" w:hAnsi="Times New Roman;serif"/>
          <w:b w:val="false"/>
          <w:color w:val="000000"/>
          <w:sz w:val="20"/>
          <w:u w:val="single"/>
          <w:shd w:fill="FFFFFF" w:val="clear"/>
        </w:rPr>
        <w:t>Market Value per Share</w:t>
      </w:r>
      <w:r>
        <w:rPr>
          <w:color w:val="000000"/>
          <w:shd w:fill="FFFFFF" w:val="clear"/>
        </w:rPr>
        <w:t xml:space="preserve">” </w:t>
      </w:r>
      <w:r>
        <w:rPr>
          <w:rFonts w:ascii="Times New Roman;serif" w:hAnsi="Times New Roman;serif"/>
          <w:b w:val="false"/>
          <w:color w:val="000000"/>
          <w:sz w:val="20"/>
          <w:shd w:fill="FFFFFF" w:val="clear"/>
        </w:rPr>
        <w:t xml:space="preserve">means, as of any particular date, the closing price of a share of Common Stock as reported for that date on the </w:t>
      </w:r>
      <w:r>
        <w:rPr>
          <w:rFonts w:ascii="Times New Roman;serif" w:hAnsi="Times New Roman;serif"/>
          <w:b/>
          <w:color w:val="000000"/>
          <w:sz w:val="20"/>
          <w:shd w:fill="FFFFFF" w:val="clear"/>
        </w:rPr>
        <w:t>[Nasdaq Stock Market]</w:t>
      </w:r>
      <w:r>
        <w:rPr>
          <w:color w:val="000000"/>
          <w:shd w:fill="FFFFFF" w:val="clear"/>
        </w:rPr>
        <w:t xml:space="preserve"> </w:t>
      </w:r>
      <w:r>
        <w:rPr>
          <w:rFonts w:ascii="Times New Roman;serif" w:hAnsi="Times New Roman;serif"/>
          <w:b w:val="false"/>
          <w:color w:val="000000"/>
          <w:sz w:val="20"/>
          <w:shd w:fill="FFFFFF" w:val="clear"/>
        </w:rPr>
        <w:t xml:space="preserve">or, if the Common Stock is not then listed on the </w:t>
      </w:r>
      <w:r>
        <w:rPr>
          <w:rFonts w:ascii="Times New Roman;serif" w:hAnsi="Times New Roman;serif"/>
          <w:b/>
          <w:color w:val="000000"/>
          <w:sz w:val="20"/>
          <w:shd w:fill="FFFFFF" w:val="clear"/>
        </w:rPr>
        <w:t>[Nasdaq Stock Market]</w:t>
      </w:r>
      <w:r>
        <w:rPr>
          <w:rFonts w:ascii="Times New Roman;serif" w:hAnsi="Times New Roman;serif"/>
          <w:b w:val="false"/>
          <w:color w:val="000000"/>
          <w:sz w:val="20"/>
          <w:shd w:fill="FFFFFF" w:val="clear"/>
        </w:rPr>
        <w:t xml:space="preserve">, on any other national securities exchange on which the Common Stock is then listed, or if there are no sales on such date, on the next preceding trading day during which a sale occurred. If there is no regular public trading market for the Common Stock, then the Market Value per Share shall be the fair market value as determined in good faith by the Committee. The Committee is authorized to adopt another fair market value pricing method provided such method is stated in the applicable Evidence of Award and is in compliance with the fair market value pricing rules set forth in Section 409A of the Code. </w:t>
      </w:r>
    </w:p>
    <w:p>
      <w:pPr>
        <w:pStyle w:val="TextBody"/>
        <w:bidi w:val="0"/>
        <w:spacing w:lineRule="auto" w:line="288" w:before="120" w:after="120"/>
        <w:ind w:left="0" w:right="0" w:firstLine="400"/>
        <w:jc w:val="both"/>
        <w:rPr>
          <w:shd w:fill="FFFFFF" w:val="clear"/>
        </w:rPr>
      </w:pPr>
      <w:r>
        <w:rPr>
          <w:rFonts w:ascii="Times New Roman;serif" w:hAnsi="Times New Roman;serif"/>
          <w:b w:val="false"/>
          <w:color w:val="000000"/>
          <w:sz w:val="20"/>
          <w:shd w:fill="FFFFFF" w:val="clear"/>
        </w:rPr>
        <w:t>(s) “</w:t>
      </w:r>
      <w:r>
        <w:rPr>
          <w:rFonts w:ascii="Times New Roman;serif" w:hAnsi="Times New Roman;serif"/>
          <w:b w:val="false"/>
          <w:color w:val="000000"/>
          <w:sz w:val="20"/>
          <w:u w:val="single"/>
          <w:shd w:fill="FFFFFF" w:val="clear"/>
        </w:rPr>
        <w:t>Optionee</w:t>
      </w:r>
      <w:r>
        <w:rPr>
          <w:color w:val="000000"/>
          <w:shd w:fill="FFFFFF" w:val="clear"/>
        </w:rPr>
        <w:t xml:space="preserve">” </w:t>
      </w:r>
      <w:r>
        <w:rPr>
          <w:rFonts w:ascii="Times New Roman;serif" w:hAnsi="Times New Roman;serif"/>
          <w:b w:val="false"/>
          <w:color w:val="000000"/>
          <w:sz w:val="20"/>
          <w:shd w:fill="FFFFFF" w:val="clear"/>
        </w:rPr>
        <w:t xml:space="preserve">means the optionee named in an Evidence of Award evidencing an outstanding Option Right. </w:t>
      </w:r>
    </w:p>
    <w:p>
      <w:pPr>
        <w:pStyle w:val="TextBody"/>
        <w:bidi w:val="0"/>
        <w:spacing w:lineRule="auto" w:line="288" w:before="120" w:after="120"/>
        <w:ind w:left="0" w:right="0" w:firstLine="400"/>
        <w:jc w:val="left"/>
        <w:rPr>
          <w:shd w:fill="FFFFFF" w:val="clear"/>
        </w:rPr>
      </w:pPr>
      <w:r>
        <w:rPr>
          <w:rFonts w:ascii="Times New Roman;serif" w:hAnsi="Times New Roman;serif"/>
          <w:b w:val="false"/>
          <w:color w:val="000000"/>
          <w:sz w:val="20"/>
          <w:shd w:fill="FFFFFF" w:val="clear"/>
        </w:rPr>
        <w:t>(t) “</w:t>
      </w:r>
      <w:r>
        <w:rPr>
          <w:rFonts w:ascii="Times New Roman;serif" w:hAnsi="Times New Roman;serif"/>
          <w:b w:val="false"/>
          <w:color w:val="000000"/>
          <w:sz w:val="20"/>
          <w:u w:val="single"/>
          <w:shd w:fill="FFFFFF" w:val="clear"/>
        </w:rPr>
        <w:t>Option Price</w:t>
      </w:r>
      <w:r>
        <w:rPr>
          <w:color w:val="000000"/>
          <w:shd w:fill="FFFFFF" w:val="clear"/>
        </w:rPr>
        <w:t xml:space="preserve">” </w:t>
      </w:r>
      <w:r>
        <w:rPr>
          <w:rFonts w:ascii="Times New Roman;serif" w:hAnsi="Times New Roman;serif"/>
          <w:b w:val="false"/>
          <w:color w:val="000000"/>
          <w:sz w:val="20"/>
          <w:shd w:fill="FFFFFF" w:val="clear"/>
        </w:rPr>
        <w:t xml:space="preserve">means the purchase price payable on exercise of an Option Right. </w:t>
      </w:r>
    </w:p>
    <w:p>
      <w:pPr>
        <w:pStyle w:val="TextBody"/>
        <w:bidi w:val="0"/>
        <w:spacing w:lineRule="auto" w:line="288" w:before="120" w:after="120"/>
        <w:ind w:left="0" w:right="0" w:firstLine="400"/>
        <w:jc w:val="both"/>
        <w:rPr>
          <w:shd w:fill="FFFFFF" w:val="clear"/>
        </w:rPr>
      </w:pPr>
      <w:r>
        <w:rPr>
          <w:rFonts w:ascii="Times New Roman;serif" w:hAnsi="Times New Roman;serif"/>
          <w:b w:val="false"/>
          <w:color w:val="000000"/>
          <w:sz w:val="20"/>
          <w:shd w:fill="FFFFFF" w:val="clear"/>
        </w:rPr>
        <w:t>(u) “</w:t>
      </w:r>
      <w:r>
        <w:rPr>
          <w:rFonts w:ascii="Times New Roman;serif" w:hAnsi="Times New Roman;serif"/>
          <w:b w:val="false"/>
          <w:color w:val="000000"/>
          <w:sz w:val="20"/>
          <w:u w:val="single"/>
          <w:shd w:fill="FFFFFF" w:val="clear"/>
        </w:rPr>
        <w:t>Option Right</w:t>
      </w:r>
      <w:r>
        <w:rPr>
          <w:color w:val="000000"/>
          <w:shd w:fill="FFFFFF" w:val="clear"/>
        </w:rPr>
        <w:t xml:space="preserve">” </w:t>
      </w:r>
      <w:r>
        <w:rPr>
          <w:rFonts w:ascii="Times New Roman;serif" w:hAnsi="Times New Roman;serif"/>
          <w:b w:val="false"/>
          <w:color w:val="000000"/>
          <w:sz w:val="20"/>
          <w:shd w:fill="FFFFFF" w:val="clear"/>
        </w:rPr>
        <w:t xml:space="preserve">means the right to purchase Common Stock upon exercise of an award granted pursuant to </w:t>
      </w:r>
      <w:r>
        <w:rPr>
          <w:rFonts w:ascii="Times New Roman;serif" w:hAnsi="Times New Roman;serif"/>
          <w:b/>
          <w:color w:val="000000"/>
          <w:sz w:val="20"/>
          <w:u w:val="single"/>
          <w:shd w:fill="FFFFFF" w:val="clear"/>
        </w:rPr>
        <w:t>Section 4</w:t>
      </w:r>
      <w:r>
        <w:rPr>
          <w:color w:val="000000"/>
          <w:shd w:fill="FFFFFF" w:val="clear"/>
        </w:rPr>
        <w:t xml:space="preserve"> </w:t>
      </w:r>
      <w:r>
        <w:rPr>
          <w:rFonts w:ascii="Times New Roman;serif" w:hAnsi="Times New Roman;serif"/>
          <w:b w:val="false"/>
          <w:color w:val="000000"/>
          <w:sz w:val="20"/>
          <w:shd w:fill="FFFFFF" w:val="clear"/>
        </w:rPr>
        <w:t xml:space="preserve">of this Plan. </w:t>
      </w:r>
    </w:p>
    <w:p>
      <w:pPr>
        <w:pStyle w:val="TextBody"/>
        <w:bidi w:val="0"/>
        <w:spacing w:lineRule="auto" w:line="288" w:before="120" w:after="120"/>
        <w:ind w:left="0" w:right="0" w:firstLine="400"/>
        <w:jc w:val="both"/>
        <w:rPr>
          <w:shd w:fill="FFFFFF" w:val="clear"/>
        </w:rPr>
      </w:pPr>
      <w:r>
        <w:rPr>
          <w:rFonts w:ascii="Times New Roman;serif" w:hAnsi="Times New Roman;serif"/>
          <w:b w:val="false"/>
          <w:color w:val="000000"/>
          <w:sz w:val="20"/>
          <w:shd w:fill="FFFFFF" w:val="clear"/>
        </w:rPr>
        <w:t>(v) “</w:t>
      </w:r>
      <w:r>
        <w:rPr>
          <w:rFonts w:ascii="Times New Roman;serif" w:hAnsi="Times New Roman;serif"/>
          <w:b w:val="false"/>
          <w:color w:val="000000"/>
          <w:sz w:val="20"/>
          <w:u w:val="single"/>
          <w:shd w:fill="FFFFFF" w:val="clear"/>
        </w:rPr>
        <w:t>Participant</w:t>
      </w:r>
      <w:r>
        <w:rPr>
          <w:color w:val="000000"/>
          <w:shd w:fill="FFFFFF" w:val="clear"/>
        </w:rPr>
        <w:t xml:space="preserve">” </w:t>
      </w:r>
      <w:r>
        <w:rPr>
          <w:rFonts w:ascii="Times New Roman;serif" w:hAnsi="Times New Roman;serif"/>
          <w:b w:val="false"/>
          <w:color w:val="000000"/>
          <w:sz w:val="20"/>
          <w:shd w:fill="FFFFFF" w:val="clear"/>
        </w:rPr>
        <w:t xml:space="preserve">means a person who is selected by the Committee to receive benefits under this Plan and who is at the time (i) a non-employee Director, (ii) an officer or other employee of the Company or any Subsidiary, including a person who has agreed to commence serving in such capacity within 90 days of the Date of Grant, or (iii) a person, including a consultant, who provides services to the Company or any Subsidiary that are equivalent to those typically provided by an employee (provided such person satisfies the Form S-8 definition of “employee”). </w:t>
      </w:r>
    </w:p>
    <w:p>
      <w:pPr>
        <w:pStyle w:val="TextBody"/>
        <w:bidi w:val="0"/>
        <w:spacing w:lineRule="auto" w:line="288" w:before="120" w:after="120"/>
        <w:ind w:left="0" w:right="0" w:firstLine="400"/>
        <w:jc w:val="both"/>
        <w:rPr>
          <w:shd w:fill="FFFFFF" w:val="clear"/>
        </w:rPr>
      </w:pPr>
      <w:r>
        <w:rPr>
          <w:rFonts w:ascii="Times New Roman;serif" w:hAnsi="Times New Roman;serif"/>
          <w:b w:val="false"/>
          <w:color w:val="000000"/>
          <w:sz w:val="20"/>
          <w:shd w:fill="FFFFFF" w:val="clear"/>
        </w:rPr>
        <w:t>(w) “</w:t>
      </w:r>
      <w:r>
        <w:rPr>
          <w:rFonts w:ascii="Times New Roman;serif" w:hAnsi="Times New Roman;serif"/>
          <w:b w:val="false"/>
          <w:color w:val="000000"/>
          <w:sz w:val="20"/>
          <w:u w:val="single"/>
          <w:shd w:fill="FFFFFF" w:val="clear"/>
        </w:rPr>
        <w:t>Performance Period</w:t>
      </w:r>
      <w:r>
        <w:rPr>
          <w:color w:val="000000"/>
          <w:shd w:fill="FFFFFF" w:val="clear"/>
        </w:rPr>
        <w:t xml:space="preserve">” </w:t>
      </w:r>
      <w:r>
        <w:rPr>
          <w:rFonts w:ascii="Times New Roman;serif" w:hAnsi="Times New Roman;serif"/>
          <w:b w:val="false"/>
          <w:color w:val="000000"/>
          <w:sz w:val="20"/>
          <w:shd w:fill="FFFFFF" w:val="clear"/>
        </w:rPr>
        <w:t xml:space="preserve">means, in respect of a Cash Incentive Award, Performance Share or Performance Unit, a period of time established pursuant to </w:t>
      </w:r>
      <w:r>
        <w:rPr>
          <w:rFonts w:ascii="Times New Roman;serif" w:hAnsi="Times New Roman;serif"/>
          <w:b/>
          <w:color w:val="000000"/>
          <w:sz w:val="20"/>
          <w:u w:val="single"/>
          <w:shd w:fill="FFFFFF" w:val="clear"/>
        </w:rPr>
        <w:t>Section 8</w:t>
      </w:r>
      <w:r>
        <w:rPr>
          <w:color w:val="000000"/>
          <w:shd w:fill="FFFFFF" w:val="clear"/>
        </w:rPr>
        <w:t xml:space="preserve"> </w:t>
      </w:r>
      <w:r>
        <w:rPr>
          <w:rFonts w:ascii="Times New Roman;serif" w:hAnsi="Times New Roman;serif"/>
          <w:b w:val="false"/>
          <w:color w:val="000000"/>
          <w:sz w:val="20"/>
          <w:shd w:fill="FFFFFF" w:val="clear"/>
        </w:rPr>
        <w:t xml:space="preserve">of this Plan within which the Management Objectives relating to such Cash Incentive Award, Performance Share or Performance Unit are to be achieved. </w:t>
      </w:r>
    </w:p>
    <w:p>
      <w:pPr>
        <w:pStyle w:val="TextBody"/>
        <w:bidi w:val="0"/>
        <w:spacing w:lineRule="auto" w:line="288" w:before="120" w:after="120"/>
        <w:ind w:left="0" w:right="0" w:firstLine="400"/>
        <w:jc w:val="both"/>
        <w:rPr>
          <w:shd w:fill="FFFFFF" w:val="clear"/>
        </w:rPr>
      </w:pPr>
      <w:r>
        <w:rPr>
          <w:rFonts w:ascii="Times New Roman;serif" w:hAnsi="Times New Roman;serif"/>
          <w:b w:val="false"/>
          <w:color w:val="000000"/>
          <w:sz w:val="20"/>
          <w:shd w:fill="FFFFFF" w:val="clear"/>
        </w:rPr>
        <w:t>(x) “</w:t>
      </w:r>
      <w:r>
        <w:rPr>
          <w:rFonts w:ascii="Times New Roman;serif" w:hAnsi="Times New Roman;serif"/>
          <w:b w:val="false"/>
          <w:color w:val="000000"/>
          <w:sz w:val="20"/>
          <w:u w:val="single"/>
          <w:shd w:fill="FFFFFF" w:val="clear"/>
        </w:rPr>
        <w:t>Performance Share</w:t>
      </w:r>
      <w:r>
        <w:rPr>
          <w:color w:val="000000"/>
          <w:shd w:fill="FFFFFF" w:val="clear"/>
        </w:rPr>
        <w:t xml:space="preserve">” </w:t>
      </w:r>
      <w:r>
        <w:rPr>
          <w:rFonts w:ascii="Times New Roman;serif" w:hAnsi="Times New Roman;serif"/>
          <w:b w:val="false"/>
          <w:color w:val="000000"/>
          <w:sz w:val="20"/>
          <w:shd w:fill="FFFFFF" w:val="clear"/>
        </w:rPr>
        <w:t xml:space="preserve">means a bookkeeping entry that records the equivalent of one share of Common Stock awarded pursuant to </w:t>
      </w:r>
      <w:r>
        <w:rPr>
          <w:rFonts w:ascii="Times New Roman;serif" w:hAnsi="Times New Roman;serif"/>
          <w:b/>
          <w:color w:val="000000"/>
          <w:sz w:val="20"/>
          <w:u w:val="single"/>
          <w:shd w:fill="FFFFFF" w:val="clear"/>
        </w:rPr>
        <w:t>Section 8</w:t>
      </w:r>
      <w:r>
        <w:rPr>
          <w:color w:val="000000"/>
          <w:shd w:fill="FFFFFF" w:val="clear"/>
        </w:rPr>
        <w:t xml:space="preserve"> </w:t>
      </w:r>
      <w:r>
        <w:rPr>
          <w:rFonts w:ascii="Times New Roman;serif" w:hAnsi="Times New Roman;serif"/>
          <w:b w:val="false"/>
          <w:color w:val="000000"/>
          <w:sz w:val="20"/>
          <w:shd w:fill="FFFFFF" w:val="clear"/>
        </w:rPr>
        <w:t xml:space="preserve">of this Plan. </w:t>
      </w:r>
    </w:p>
    <w:p>
      <w:pPr>
        <w:pStyle w:val="TextBody"/>
        <w:bidi w:val="0"/>
        <w:spacing w:lineRule="auto" w:line="288" w:before="120" w:after="120"/>
        <w:ind w:left="0" w:right="0" w:firstLine="400"/>
        <w:jc w:val="both"/>
        <w:rPr>
          <w:shd w:fill="FFFFFF" w:val="clear"/>
        </w:rPr>
      </w:pPr>
      <w:r>
        <w:rPr>
          <w:rFonts w:ascii="Times New Roman;serif" w:hAnsi="Times New Roman;serif"/>
          <w:b w:val="false"/>
          <w:color w:val="000000"/>
          <w:sz w:val="20"/>
          <w:shd w:fill="FFFFFF" w:val="clear"/>
        </w:rPr>
        <w:t>(y) “</w:t>
      </w:r>
      <w:r>
        <w:rPr>
          <w:rFonts w:ascii="Times New Roman;serif" w:hAnsi="Times New Roman;serif"/>
          <w:b w:val="false"/>
          <w:color w:val="000000"/>
          <w:sz w:val="20"/>
          <w:u w:val="single"/>
          <w:shd w:fill="FFFFFF" w:val="clear"/>
        </w:rPr>
        <w:t>Performance Unit</w:t>
      </w:r>
      <w:r>
        <w:rPr>
          <w:color w:val="000000"/>
          <w:shd w:fill="FFFFFF" w:val="clear"/>
        </w:rPr>
        <w:t xml:space="preserve">” </w:t>
      </w:r>
      <w:r>
        <w:rPr>
          <w:rFonts w:ascii="Times New Roman;serif" w:hAnsi="Times New Roman;serif"/>
          <w:b w:val="false"/>
          <w:color w:val="000000"/>
          <w:sz w:val="20"/>
          <w:shd w:fill="FFFFFF" w:val="clear"/>
        </w:rPr>
        <w:t xml:space="preserve">means a bookkeeping entry award granted pursuant to </w:t>
      </w:r>
      <w:r>
        <w:rPr>
          <w:rFonts w:ascii="Times New Roman;serif" w:hAnsi="Times New Roman;serif"/>
          <w:b/>
          <w:color w:val="000000"/>
          <w:sz w:val="20"/>
          <w:u w:val="single"/>
          <w:shd w:fill="FFFFFF" w:val="clear"/>
        </w:rPr>
        <w:t>Section 8</w:t>
      </w:r>
      <w:r>
        <w:rPr>
          <w:color w:val="000000"/>
          <w:shd w:fill="FFFFFF" w:val="clear"/>
        </w:rPr>
        <w:t xml:space="preserve"> </w:t>
      </w:r>
      <w:r>
        <w:rPr>
          <w:rFonts w:ascii="Times New Roman;serif" w:hAnsi="Times New Roman;serif"/>
          <w:b w:val="false"/>
          <w:color w:val="000000"/>
          <w:sz w:val="20"/>
          <w:shd w:fill="FFFFFF" w:val="clear"/>
        </w:rPr>
        <w:t xml:space="preserve">of this Plan that records a unit equivalent to $1.00 or such other value as is determined by the Committee. </w:t>
      </w:r>
    </w:p>
    <w:p>
      <w:pPr>
        <w:pStyle w:val="TextBody"/>
        <w:bidi w:val="0"/>
        <w:spacing w:lineRule="auto" w:line="288" w:before="120" w:after="120"/>
        <w:ind w:left="0" w:right="0" w:firstLine="400"/>
        <w:jc w:val="both"/>
        <w:rPr>
          <w:shd w:fill="FFFFFF" w:val="clear"/>
        </w:rPr>
      </w:pPr>
      <w:r>
        <w:rPr>
          <w:rFonts w:ascii="Times New Roman;serif" w:hAnsi="Times New Roman;serif"/>
          <w:b w:val="false"/>
          <w:color w:val="000000"/>
          <w:sz w:val="20"/>
          <w:shd w:fill="FFFFFF" w:val="clear"/>
        </w:rPr>
        <w:t>(z) “</w:t>
      </w:r>
      <w:r>
        <w:rPr>
          <w:rFonts w:ascii="Times New Roman;serif" w:hAnsi="Times New Roman;serif"/>
          <w:b w:val="false"/>
          <w:color w:val="000000"/>
          <w:sz w:val="20"/>
          <w:u w:val="single"/>
          <w:shd w:fill="FFFFFF" w:val="clear"/>
        </w:rPr>
        <w:t>Plan</w:t>
      </w:r>
      <w:r>
        <w:rPr>
          <w:color w:val="000000"/>
          <w:shd w:fill="FFFFFF" w:val="clear"/>
        </w:rPr>
        <w:t xml:space="preserve">” </w:t>
      </w:r>
      <w:r>
        <w:rPr>
          <w:rFonts w:ascii="Times New Roman;serif" w:hAnsi="Times New Roman;serif"/>
          <w:b w:val="false"/>
          <w:color w:val="000000"/>
          <w:sz w:val="20"/>
          <w:shd w:fill="FFFFFF" w:val="clear"/>
        </w:rPr>
        <w:t>means this Innventure, Inc.</w:t>
      </w:r>
      <w:r>
        <w:rPr>
          <w:color w:val="000000"/>
          <w:shd w:fill="FFFFFF" w:val="clear"/>
        </w:rPr>
        <w:t> </w:t>
      </w:r>
      <w:r>
        <w:rPr>
          <w:rFonts w:ascii="Times New Roman;serif" w:hAnsi="Times New Roman;serif"/>
          <w:b w:val="false"/>
          <w:color w:val="000000"/>
          <w:sz w:val="20"/>
          <w:shd w:fill="FFFFFF" w:val="clear"/>
        </w:rPr>
        <w:t xml:space="preserve">2024 Equity and Incentive Compensation Plan, as may be amended or amended and restated from time to time. </w:t>
      </w:r>
    </w:p>
    <w:p>
      <w:pPr>
        <w:pStyle w:val="TextBody"/>
        <w:bidi w:val="0"/>
        <w:spacing w:lineRule="auto" w:line="26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INNVENTURE, INC. </w:t>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142" name="Frame1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79.0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2024 EQUITY AND INCENTIVE COMPENSATION PLAN </w:t>
      </w:r>
    </w:p>
    <w:p>
      <w:pPr>
        <w:pStyle w:val="TextBody"/>
        <w:bidi w:val="0"/>
        <w:spacing w:lineRule="auto" w:line="288" w:before="120" w:after="120"/>
        <w:ind w:left="0" w:right="0" w:firstLine="400"/>
        <w:jc w:val="both"/>
        <w:rPr>
          <w:shd w:fill="FFFFFF" w:val="clear"/>
        </w:rPr>
      </w:pPr>
      <w:r>
        <w:rPr>
          <w:rFonts w:ascii="Times New Roman;serif" w:hAnsi="Times New Roman;serif"/>
          <w:b w:val="false"/>
          <w:color w:val="000000"/>
          <w:sz w:val="20"/>
          <w:shd w:fill="FFFFFF" w:val="clear"/>
        </w:rPr>
        <w:t>(aa) “</w:t>
      </w:r>
      <w:r>
        <w:rPr>
          <w:rFonts w:ascii="Times New Roman;serif" w:hAnsi="Times New Roman;serif"/>
          <w:b w:val="false"/>
          <w:color w:val="000000"/>
          <w:sz w:val="20"/>
          <w:u w:val="single"/>
          <w:shd w:fill="FFFFFF" w:val="clear"/>
        </w:rPr>
        <w:t>Restricted Stock</w:t>
      </w:r>
      <w:r>
        <w:rPr>
          <w:color w:val="000000"/>
          <w:shd w:fill="FFFFFF" w:val="clear"/>
        </w:rPr>
        <w:t xml:space="preserve">” </w:t>
      </w:r>
      <w:r>
        <w:rPr>
          <w:rFonts w:ascii="Times New Roman;serif" w:hAnsi="Times New Roman;serif"/>
          <w:b w:val="false"/>
          <w:color w:val="000000"/>
          <w:sz w:val="20"/>
          <w:shd w:fill="FFFFFF" w:val="clear"/>
        </w:rPr>
        <w:t xml:space="preserve">means Common Stock granted or sold pursuant to </w:t>
      </w:r>
      <w:r>
        <w:rPr>
          <w:rFonts w:ascii="Times New Roman;serif" w:hAnsi="Times New Roman;serif"/>
          <w:b/>
          <w:color w:val="000000"/>
          <w:sz w:val="20"/>
          <w:u w:val="single"/>
          <w:shd w:fill="FFFFFF" w:val="clear"/>
        </w:rPr>
        <w:t>Section 6</w:t>
      </w:r>
      <w:r>
        <w:rPr>
          <w:color w:val="000000"/>
          <w:shd w:fill="FFFFFF" w:val="clear"/>
        </w:rPr>
        <w:t xml:space="preserve"> </w:t>
      </w:r>
      <w:r>
        <w:rPr>
          <w:rFonts w:ascii="Times New Roman;serif" w:hAnsi="Times New Roman;serif"/>
          <w:b w:val="false"/>
          <w:color w:val="000000"/>
          <w:sz w:val="20"/>
          <w:shd w:fill="FFFFFF" w:val="clear"/>
        </w:rPr>
        <w:t xml:space="preserve">of this Plan as to which neither the substantial risk of forfeiture nor the prohibition on transfers has expired. </w:t>
      </w:r>
    </w:p>
    <w:p>
      <w:pPr>
        <w:pStyle w:val="TextBody"/>
        <w:bidi w:val="0"/>
        <w:spacing w:lineRule="auto" w:line="288" w:before="120" w:after="120"/>
        <w:ind w:left="0" w:right="0" w:firstLine="400"/>
        <w:jc w:val="both"/>
        <w:rPr>
          <w:shd w:fill="FFFFFF" w:val="clear"/>
        </w:rPr>
      </w:pPr>
      <w:r>
        <w:rPr>
          <w:rFonts w:ascii="Times New Roman;serif" w:hAnsi="Times New Roman;serif"/>
          <w:b w:val="false"/>
          <w:color w:val="000000"/>
          <w:sz w:val="20"/>
          <w:shd w:fill="FFFFFF" w:val="clear"/>
        </w:rPr>
        <w:t>(bb) “</w:t>
      </w:r>
      <w:r>
        <w:rPr>
          <w:rFonts w:ascii="Times New Roman;serif" w:hAnsi="Times New Roman;serif"/>
          <w:b w:val="false"/>
          <w:color w:val="000000"/>
          <w:sz w:val="20"/>
          <w:u w:val="single"/>
          <w:shd w:fill="FFFFFF" w:val="clear"/>
        </w:rPr>
        <w:t>Restricted Stock Units</w:t>
      </w:r>
      <w:r>
        <w:rPr>
          <w:color w:val="000000"/>
          <w:shd w:fill="FFFFFF" w:val="clear"/>
        </w:rPr>
        <w:t xml:space="preserve">” </w:t>
      </w:r>
      <w:r>
        <w:rPr>
          <w:rFonts w:ascii="Times New Roman;serif" w:hAnsi="Times New Roman;serif"/>
          <w:b w:val="false"/>
          <w:color w:val="000000"/>
          <w:sz w:val="20"/>
          <w:shd w:fill="FFFFFF" w:val="clear"/>
        </w:rPr>
        <w:t xml:space="preserve">means an award made pursuant to </w:t>
      </w:r>
      <w:r>
        <w:rPr>
          <w:rFonts w:ascii="Times New Roman;serif" w:hAnsi="Times New Roman;serif"/>
          <w:b/>
          <w:color w:val="000000"/>
          <w:sz w:val="20"/>
          <w:u w:val="single"/>
          <w:shd w:fill="FFFFFF" w:val="clear"/>
        </w:rPr>
        <w:t>Section 7</w:t>
      </w:r>
      <w:r>
        <w:rPr>
          <w:color w:val="000000"/>
          <w:shd w:fill="FFFFFF" w:val="clear"/>
        </w:rPr>
        <w:t xml:space="preserve"> </w:t>
      </w:r>
      <w:r>
        <w:rPr>
          <w:rFonts w:ascii="Times New Roman;serif" w:hAnsi="Times New Roman;serif"/>
          <w:b w:val="false"/>
          <w:color w:val="000000"/>
          <w:sz w:val="20"/>
          <w:shd w:fill="FFFFFF" w:val="clear"/>
        </w:rPr>
        <w:t xml:space="preserve">of this Plan of the right to receive Common Stock, cash or a combination thereof at the end of a specified period. </w:t>
      </w:r>
    </w:p>
    <w:p>
      <w:pPr>
        <w:pStyle w:val="TextBody"/>
        <w:bidi w:val="0"/>
        <w:spacing w:lineRule="auto" w:line="288" w:before="120" w:after="120"/>
        <w:ind w:left="0" w:right="0" w:firstLine="400"/>
        <w:jc w:val="both"/>
        <w:rPr>
          <w:shd w:fill="FFFFFF" w:val="clear"/>
        </w:rPr>
      </w:pPr>
      <w:r>
        <w:rPr>
          <w:rFonts w:ascii="Times New Roman;serif" w:hAnsi="Times New Roman;serif"/>
          <w:b w:val="false"/>
          <w:color w:val="000000"/>
          <w:sz w:val="20"/>
          <w:shd w:fill="FFFFFF" w:val="clear"/>
        </w:rPr>
        <w:t>(cc) “</w:t>
      </w:r>
      <w:r>
        <w:rPr>
          <w:rFonts w:ascii="Times New Roman;serif" w:hAnsi="Times New Roman;serif"/>
          <w:b w:val="false"/>
          <w:color w:val="000000"/>
          <w:sz w:val="20"/>
          <w:u w:val="single"/>
          <w:shd w:fill="FFFFFF" w:val="clear"/>
        </w:rPr>
        <w:t>Restriction Period</w:t>
      </w:r>
      <w:r>
        <w:rPr>
          <w:color w:val="000000"/>
          <w:shd w:fill="FFFFFF" w:val="clear"/>
        </w:rPr>
        <w:t xml:space="preserve">” </w:t>
      </w:r>
      <w:r>
        <w:rPr>
          <w:rFonts w:ascii="Times New Roman;serif" w:hAnsi="Times New Roman;serif"/>
          <w:b w:val="false"/>
          <w:color w:val="000000"/>
          <w:sz w:val="20"/>
          <w:shd w:fill="FFFFFF" w:val="clear"/>
        </w:rPr>
        <w:t xml:space="preserve">means the period of time during which Restricted Stock Units are subject to restrictions, as provided in </w:t>
      </w:r>
      <w:r>
        <w:rPr>
          <w:rFonts w:ascii="Times New Roman;serif" w:hAnsi="Times New Roman;serif"/>
          <w:b/>
          <w:color w:val="000000"/>
          <w:sz w:val="20"/>
          <w:u w:val="single"/>
          <w:shd w:fill="FFFFFF" w:val="clear"/>
        </w:rPr>
        <w:t>Section 7</w:t>
      </w:r>
      <w:r>
        <w:rPr>
          <w:color w:val="000000"/>
          <w:shd w:fill="FFFFFF" w:val="clear"/>
        </w:rPr>
        <w:t xml:space="preserve"> </w:t>
      </w:r>
      <w:r>
        <w:rPr>
          <w:rFonts w:ascii="Times New Roman;serif" w:hAnsi="Times New Roman;serif"/>
          <w:b w:val="false"/>
          <w:color w:val="000000"/>
          <w:sz w:val="20"/>
          <w:shd w:fill="FFFFFF" w:val="clear"/>
        </w:rPr>
        <w:t xml:space="preserve">of this Plan. </w:t>
      </w:r>
    </w:p>
    <w:p>
      <w:pPr>
        <w:pStyle w:val="TextBody"/>
        <w:bidi w:val="0"/>
        <w:spacing w:lineRule="auto" w:line="288" w:before="120" w:after="120"/>
        <w:ind w:left="0" w:right="0" w:firstLine="400"/>
        <w:jc w:val="both"/>
        <w:rPr>
          <w:shd w:fill="FFFFFF" w:val="clear"/>
        </w:rPr>
      </w:pPr>
      <w:r>
        <w:rPr>
          <w:rFonts w:ascii="Times New Roman;serif" w:hAnsi="Times New Roman;serif"/>
          <w:b w:val="false"/>
          <w:color w:val="000000"/>
          <w:sz w:val="20"/>
          <w:shd w:fill="FFFFFF" w:val="clear"/>
        </w:rPr>
        <w:t>(dd) “</w:t>
      </w:r>
      <w:r>
        <w:rPr>
          <w:rFonts w:ascii="Times New Roman;serif" w:hAnsi="Times New Roman;serif"/>
          <w:b w:val="false"/>
          <w:color w:val="000000"/>
          <w:sz w:val="20"/>
          <w:u w:val="single"/>
          <w:shd w:fill="FFFFFF" w:val="clear"/>
        </w:rPr>
        <w:t>Spread</w:t>
      </w:r>
      <w:r>
        <w:rPr>
          <w:color w:val="000000"/>
          <w:shd w:fill="FFFFFF" w:val="clear"/>
        </w:rPr>
        <w:t xml:space="preserve">” </w:t>
      </w:r>
      <w:r>
        <w:rPr>
          <w:rFonts w:ascii="Times New Roman;serif" w:hAnsi="Times New Roman;serif"/>
          <w:b w:val="false"/>
          <w:color w:val="000000"/>
          <w:sz w:val="20"/>
          <w:shd w:fill="FFFFFF" w:val="clear"/>
        </w:rPr>
        <w:t xml:space="preserve">means the excess of the Market Value per Share on the date when an Appreciation Right is exercised over the Base Price provided for with respect to the Appreciation Right. </w:t>
      </w:r>
    </w:p>
    <w:p>
      <w:pPr>
        <w:pStyle w:val="TextBody"/>
        <w:bidi w:val="0"/>
        <w:spacing w:lineRule="auto" w:line="288" w:before="120" w:after="120"/>
        <w:ind w:left="0" w:right="0" w:firstLine="400"/>
        <w:jc w:val="left"/>
        <w:rPr>
          <w:shd w:fill="FFFFFF" w:val="clear"/>
        </w:rPr>
      </w:pPr>
      <w:r>
        <w:rPr>
          <w:rFonts w:ascii="Times New Roman;serif" w:hAnsi="Times New Roman;serif"/>
          <w:b w:val="false"/>
          <w:color w:val="000000"/>
          <w:sz w:val="20"/>
          <w:shd w:fill="FFFFFF" w:val="clear"/>
        </w:rPr>
        <w:t>(ee) “</w:t>
      </w:r>
      <w:r>
        <w:rPr>
          <w:rFonts w:ascii="Times New Roman;serif" w:hAnsi="Times New Roman;serif"/>
          <w:b w:val="false"/>
          <w:color w:val="000000"/>
          <w:sz w:val="20"/>
          <w:u w:val="single"/>
          <w:shd w:fill="FFFFFF" w:val="clear"/>
        </w:rPr>
        <w:t>Stockholder</w:t>
      </w:r>
      <w:r>
        <w:rPr>
          <w:color w:val="000000"/>
          <w:shd w:fill="FFFFFF" w:val="clear"/>
        </w:rPr>
        <w:t xml:space="preserve">” </w:t>
      </w:r>
      <w:r>
        <w:rPr>
          <w:rFonts w:ascii="Times New Roman;serif" w:hAnsi="Times New Roman;serif"/>
          <w:b w:val="false"/>
          <w:color w:val="000000"/>
          <w:sz w:val="20"/>
          <w:shd w:fill="FFFFFF" w:val="clear"/>
        </w:rPr>
        <w:t xml:space="preserve">means an individual or entity that owns one or more shares of Common Stock. </w:t>
      </w:r>
    </w:p>
    <w:p>
      <w:pPr>
        <w:pStyle w:val="TextBody"/>
        <w:bidi w:val="0"/>
        <w:spacing w:lineRule="auto" w:line="288" w:before="120" w:after="120"/>
        <w:ind w:left="0" w:right="0" w:firstLine="400"/>
        <w:jc w:val="both"/>
        <w:rPr>
          <w:shd w:fill="FFFFFF" w:val="clear"/>
        </w:rPr>
      </w:pPr>
      <w:r>
        <w:rPr>
          <w:rFonts w:ascii="Times New Roman;serif" w:hAnsi="Times New Roman;serif"/>
          <w:b w:val="false"/>
          <w:color w:val="000000"/>
          <w:sz w:val="20"/>
          <w:shd w:fill="FFFFFF" w:val="clear"/>
        </w:rPr>
        <w:t>(ff) “</w:t>
      </w:r>
      <w:r>
        <w:rPr>
          <w:rFonts w:ascii="Times New Roman;serif" w:hAnsi="Times New Roman;serif"/>
          <w:b w:val="false"/>
          <w:color w:val="000000"/>
          <w:sz w:val="20"/>
          <w:u w:val="single"/>
          <w:shd w:fill="FFFFFF" w:val="clear"/>
        </w:rPr>
        <w:t>Subsidiary</w:t>
      </w:r>
      <w:r>
        <w:rPr>
          <w:color w:val="000000"/>
          <w:shd w:fill="FFFFFF" w:val="clear"/>
        </w:rPr>
        <w:t xml:space="preserve">” </w:t>
      </w:r>
      <w:r>
        <w:rPr>
          <w:rFonts w:ascii="Times New Roman;serif" w:hAnsi="Times New Roman;serif"/>
          <w:b w:val="false"/>
          <w:color w:val="000000"/>
          <w:sz w:val="20"/>
          <w:shd w:fill="FFFFFF" w:val="clear"/>
        </w:rPr>
        <w:t xml:space="preserve">means a corporation, company or other entity (i) more than 50% of whose outstanding shares or securities (representing the right to vote for the election of directors or other managing authority) are or (ii) which does not have outstanding shares or securities (as may be the case in a partnership, joint venture, limited liability company, unincorporated association or other similar entity), but more than 50% of whose ownership interest representing the right generally to make decisions for such other entity is, now or hereafter, owned or controlled, directly or indirectly, by the Company; </w:t>
      </w:r>
      <w:r>
        <w:rPr>
          <w:rFonts w:ascii="Times New Roman;serif" w:hAnsi="Times New Roman;serif"/>
          <w:b w:val="false"/>
          <w:color w:val="000000"/>
          <w:sz w:val="20"/>
          <w:u w:val="single"/>
          <w:shd w:fill="FFFFFF" w:val="clear"/>
        </w:rPr>
        <w:t>provided</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u w:val="single"/>
          <w:shd w:fill="FFFFFF" w:val="clear"/>
        </w:rPr>
        <w:t>however</w:t>
      </w:r>
      <w:r>
        <w:rPr>
          <w:rFonts w:ascii="Times New Roman;serif" w:hAnsi="Times New Roman;serif"/>
          <w:b w:val="false"/>
          <w:color w:val="000000"/>
          <w:sz w:val="20"/>
          <w:shd w:fill="FFFFFF" w:val="clear"/>
        </w:rPr>
        <w:t xml:space="preserve">, that for purposes of determining whether any person may be a Participant for purposes of any grant of Incentive Stock Options, “Subsidiary” means any corporation in which the Company at the time owns or controls, directly or indirectly, more than 50% of the total combined Voting Power represented by all classes of stock issued by such corporation. </w:t>
      </w:r>
    </w:p>
    <w:p>
      <w:pPr>
        <w:pStyle w:val="TextBody"/>
        <w:bidi w:val="0"/>
        <w:spacing w:lineRule="auto" w:line="288" w:before="120" w:after="120"/>
        <w:ind w:left="0" w:right="0" w:firstLine="400"/>
        <w:jc w:val="both"/>
        <w:rPr>
          <w:shd w:fill="FFFFFF" w:val="clear"/>
        </w:rPr>
      </w:pPr>
      <w:r>
        <w:rPr>
          <w:rFonts w:ascii="Times New Roman;serif" w:hAnsi="Times New Roman;serif"/>
          <w:b w:val="false"/>
          <w:color w:val="000000"/>
          <w:sz w:val="20"/>
          <w:shd w:fill="FFFFFF" w:val="clear"/>
        </w:rPr>
        <w:t>(gg) “</w:t>
      </w:r>
      <w:r>
        <w:rPr>
          <w:rFonts w:ascii="Times New Roman;serif" w:hAnsi="Times New Roman;serif"/>
          <w:b w:val="false"/>
          <w:color w:val="000000"/>
          <w:sz w:val="20"/>
          <w:u w:val="single"/>
          <w:shd w:fill="FFFFFF" w:val="clear"/>
        </w:rPr>
        <w:t>Voting Power</w:t>
      </w:r>
      <w:r>
        <w:rPr>
          <w:color w:val="000000"/>
          <w:shd w:fill="FFFFFF" w:val="clear"/>
        </w:rPr>
        <w:t xml:space="preserve">” </w:t>
      </w:r>
      <w:r>
        <w:rPr>
          <w:rFonts w:ascii="Times New Roman;serif" w:hAnsi="Times New Roman;serif"/>
          <w:b w:val="false"/>
          <w:color w:val="000000"/>
          <w:sz w:val="20"/>
          <w:shd w:fill="FFFFFF" w:val="clear"/>
        </w:rPr>
        <w:t xml:space="preserve">means, at any time, the combined voting power of the then-outstanding securities entitled to vote generally in the election of Directors in the case of the Company or members of the board of directors or similar body in the case of another entity. </w:t>
      </w:r>
    </w:p>
    <w:p>
      <w:pPr>
        <w:pStyle w:val="TextBody"/>
        <w:bidi w:val="0"/>
        <w:spacing w:lineRule="auto" w:line="288" w:before="120" w:after="120"/>
        <w:ind w:left="0" w:right="0" w:firstLine="400"/>
        <w:jc w:val="left"/>
        <w:rPr>
          <w:shd w:fill="FFFFFF" w:val="clear"/>
        </w:rPr>
      </w:pPr>
      <w:r>
        <w:rPr>
          <w:rFonts w:ascii="Times New Roman;serif" w:hAnsi="Times New Roman;serif"/>
          <w:b w:val="false"/>
          <w:color w:val="000000"/>
          <w:sz w:val="20"/>
          <w:shd w:fill="FFFFFF" w:val="clear"/>
        </w:rPr>
        <w:t>3. </w:t>
      </w:r>
      <w:r>
        <w:rPr>
          <w:rFonts w:ascii="Times New Roman;serif" w:hAnsi="Times New Roman;serif"/>
          <w:b/>
          <w:color w:val="000000"/>
          <w:sz w:val="20"/>
          <w:shd w:fill="FFFFFF" w:val="clear"/>
        </w:rPr>
        <w:t>Shares Available Under this Plan.</w:t>
      </w:r>
      <w:r>
        <w:rPr>
          <w:color w:val="000000"/>
          <w:shd w:fill="FFFFFF" w:val="clear"/>
        </w:rPr>
        <w:t> </w:t>
      </w:r>
    </w:p>
    <w:p>
      <w:pPr>
        <w:pStyle w:val="TextBody"/>
        <w:bidi w:val="0"/>
        <w:spacing w:lineRule="auto" w:line="288" w:before="120" w:after="120"/>
        <w:ind w:left="0" w:right="0" w:firstLine="400"/>
        <w:jc w:val="left"/>
        <w:rPr>
          <w:shd w:fill="FFFFFF" w:val="clear"/>
        </w:rPr>
      </w:pPr>
      <w:r>
        <w:rPr>
          <w:rFonts w:ascii="Times New Roman;serif" w:hAnsi="Times New Roman;serif"/>
          <w:b w:val="false"/>
          <w:color w:val="000000"/>
          <w:sz w:val="20"/>
          <w:shd w:fill="FFFFFF" w:val="clear"/>
        </w:rPr>
        <w:t>(a) </w:t>
      </w:r>
      <w:r>
        <w:rPr>
          <w:rFonts w:ascii="Times New Roman;serif" w:hAnsi="Times New Roman;serif"/>
          <w:b w:val="false"/>
          <w:color w:val="000000"/>
          <w:sz w:val="20"/>
          <w:u w:val="single"/>
          <w:shd w:fill="FFFFFF" w:val="clear"/>
        </w:rPr>
        <w:t>Maximum Shares Available Under this Plan</w:t>
      </w:r>
      <w:r>
        <w:rPr>
          <w:rFonts w:ascii="Times New Roman;serif" w:hAnsi="Times New Roman;serif"/>
          <w:b w:val="false"/>
          <w:color w:val="000000"/>
          <w:sz w:val="20"/>
          <w:shd w:fill="FFFFFF" w:val="clear"/>
        </w:rPr>
        <w:t xml:space="preserve">.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20"/>
              </w:rPr>
              <w:t xml:space="preserve">Subject to adjustment as provided in </w:t>
            </w:r>
            <w:r>
              <w:rPr>
                <w:rFonts w:ascii="Times New Roman;serif" w:hAnsi="Times New Roman;serif"/>
                <w:b/>
                <w:color w:val="000000"/>
                <w:sz w:val="20"/>
                <w:u w:val="single"/>
              </w:rPr>
              <w:t>Section 11</w:t>
            </w:r>
            <w:r>
              <w:rPr>
                <w:color w:val="000000"/>
              </w:rPr>
              <w:t xml:space="preserve"> </w:t>
            </w:r>
            <w:r>
              <w:rPr>
                <w:rFonts w:ascii="Times New Roman;serif" w:hAnsi="Times New Roman;serif"/>
                <w:b w:val="false"/>
                <w:color w:val="000000"/>
                <w:sz w:val="20"/>
              </w:rPr>
              <w:t xml:space="preserve">of this Plan and the share counting rules set forth in </w:t>
            </w:r>
            <w:r>
              <w:rPr>
                <w:rFonts w:ascii="Times New Roman;serif" w:hAnsi="Times New Roman;serif"/>
                <w:b/>
                <w:color w:val="000000"/>
                <w:sz w:val="20"/>
                <w:u w:val="single"/>
              </w:rPr>
              <w:t>Section 3(b)</w:t>
            </w:r>
            <w:r>
              <w:rPr>
                <w:color w:val="000000"/>
              </w:rPr>
              <w:t xml:space="preserve"> </w:t>
            </w:r>
            <w:r>
              <w:rPr>
                <w:rFonts w:ascii="Times New Roman;serif" w:hAnsi="Times New Roman;serif"/>
                <w:b w:val="false"/>
                <w:color w:val="000000"/>
                <w:sz w:val="20"/>
              </w:rPr>
              <w:t xml:space="preserve">of this Plan, the number of shares of Common Stock available under this Plan for (A) Option Rights or Appreciation Rights, (B) Restricted Stock, (C) Restricted Stock Units, (D) Performance Shares or Performance Units, (E) awards contemplated by </w:t>
            </w:r>
            <w:r>
              <w:rPr>
                <w:rFonts w:ascii="Times New Roman;serif" w:hAnsi="Times New Roman;serif"/>
                <w:b/>
                <w:color w:val="000000"/>
                <w:sz w:val="20"/>
                <w:u w:val="single"/>
              </w:rPr>
              <w:t>Section 9</w:t>
            </w:r>
            <w:r>
              <w:rPr>
                <w:color w:val="000000"/>
              </w:rPr>
              <w:t xml:space="preserve"> </w:t>
            </w:r>
            <w:r>
              <w:rPr>
                <w:rFonts w:ascii="Times New Roman;serif" w:hAnsi="Times New Roman;serif"/>
                <w:b w:val="false"/>
                <w:color w:val="000000"/>
                <w:sz w:val="20"/>
              </w:rPr>
              <w:t>of this Plan, or (F) dividend equivalents, will not exceed, in the aggregate, 11,022,894 shares of Common Stock (the “</w:t>
            </w:r>
            <w:r>
              <w:rPr>
                <w:rFonts w:ascii="Times New Roman;serif" w:hAnsi="Times New Roman;serif"/>
                <w:b w:val="false"/>
                <w:color w:val="000000"/>
                <w:sz w:val="20"/>
                <w:u w:val="single"/>
              </w:rPr>
              <w:t>Overall Share Limit</w:t>
            </w:r>
            <w:r>
              <w:rPr>
                <w:color w:val="000000"/>
              </w:rPr>
              <w:t>”</w:t>
            </w:r>
            <w:r>
              <w:rPr>
                <w:rFonts w:ascii="Times New Roman;serif" w:hAnsi="Times New Roman;serif"/>
                <w:b w:val="false"/>
                <w:color w:val="000000"/>
                <w:sz w:val="20"/>
              </w:rPr>
              <w:t xml:space="preserve">). The Overall Share Limit shall be automatically increased on the first day of each fiscal year of the Company, beginning in 2025 and ending in 2034, by an amount equal to the lesser of (x) 3% of the shares of Common Stock outstanding on the last day of the immediately preceding fiscal year and (y) such smaller number of shares as determined by the Board. Such shares may be shares of original issuance or treasury shares or a combination of the foregoing. </w:t>
            </w:r>
          </w:p>
        </w:tc>
      </w:tr>
    </w:tbl>
    <w:p>
      <w:pPr>
        <w:pStyle w:val="TextBody"/>
        <w:bidi w:val="0"/>
        <w:spacing w:before="120" w:after="120"/>
        <w:jc w:val="left"/>
        <w:rPr/>
      </w:pPr>
      <w:r>
        <w:rPr/>
      </w:r>
    </w:p>
    <w:tbl>
      <w:tblPr>
        <w:tblW w:w="10205" w:type="dxa"/>
        <w:jc w:val="left"/>
        <w:tblInd w:w="0" w:type="dxa"/>
        <w:tblLayout w:type="fixed"/>
        <w:tblCellMar>
          <w:top w:w="28" w:type="dxa"/>
          <w:left w:w="28" w:type="dxa"/>
          <w:bottom w:w="28" w:type="dxa"/>
          <w:right w:w="28" w:type="dxa"/>
        </w:tblCellMar>
      </w:tblPr>
      <w:tblGrid>
        <w:gridCol w:w="126"/>
        <w:gridCol w:w="111"/>
        <w:gridCol w:w="111"/>
        <w:gridCol w:w="2885"/>
        <w:gridCol w:w="2885"/>
        <w:gridCol w:w="4087"/>
      </w:tblGrid>
      <w:tr>
        <w:trPr/>
        <w:tc>
          <w:tcPr>
            <w:tcW w:w="12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(ii)</w:t>
            </w:r>
          </w:p>
        </w:tc>
        <w:tc>
          <w:tcPr>
            <w:tcW w:w="9857"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20"/>
              </w:rPr>
              <w:t xml:space="preserve">Subject to the share counting rules set forth in </w:t>
            </w:r>
            <w:r>
              <w:rPr>
                <w:rFonts w:ascii="Times New Roman;serif" w:hAnsi="Times New Roman;serif"/>
                <w:b w:val="false"/>
                <w:color w:val="000000"/>
                <w:sz w:val="20"/>
                <w:u w:val="single"/>
              </w:rPr>
              <w:t>Section 3(b)</w:t>
            </w:r>
            <w:r>
              <w:rPr>
                <w:color w:val="000000"/>
              </w:rPr>
              <w:t xml:space="preserve"> </w:t>
            </w:r>
            <w:r>
              <w:rPr>
                <w:rFonts w:ascii="Times New Roman;serif" w:hAnsi="Times New Roman;serif"/>
                <w:b w:val="false"/>
                <w:color w:val="000000"/>
                <w:sz w:val="20"/>
              </w:rPr>
              <w:t xml:space="preserve">of this Plan, the aggregate number of shares of Common Stock available under </w:t>
            </w:r>
            <w:r>
              <w:rPr>
                <w:rFonts w:ascii="Times New Roman;serif" w:hAnsi="Times New Roman;serif"/>
                <w:b w:val="false"/>
                <w:color w:val="000000"/>
                <w:sz w:val="20"/>
                <w:u w:val="single"/>
              </w:rPr>
              <w:t>Section 3(a)(i)</w:t>
            </w:r>
            <w:r>
              <w:rPr>
                <w:color w:val="000000"/>
              </w:rPr>
              <w:t xml:space="preserve"> </w:t>
            </w:r>
            <w:r>
              <w:rPr>
                <w:rFonts w:ascii="Times New Roman;serif" w:hAnsi="Times New Roman;serif"/>
                <w:b w:val="false"/>
                <w:color w:val="000000"/>
                <w:sz w:val="20"/>
              </w:rPr>
              <w:t xml:space="preserve">of this Plan will be reduced by one share of Common Stock for every one share of Common Stock subject to an award granted under this Plan. </w:t>
            </w:r>
          </w:p>
        </w:tc>
      </w:tr>
    </w:tbl>
    <w:p>
      <w:pPr>
        <w:pStyle w:val="TextBody"/>
        <w:bidi w:val="0"/>
        <w:spacing w:lineRule="auto" w:line="288" w:before="120" w:after="120"/>
        <w:ind w:left="0" w:right="0" w:firstLine="400"/>
        <w:jc w:val="left"/>
        <w:rPr>
          <w:shd w:fill="FFFFFF" w:val="clear"/>
        </w:rPr>
      </w:pPr>
      <w:r>
        <w:rPr>
          <w:rFonts w:ascii="Times New Roman;serif" w:hAnsi="Times New Roman;serif"/>
          <w:b w:val="false"/>
          <w:color w:val="000000"/>
          <w:sz w:val="20"/>
          <w:shd w:fill="FFFFFF" w:val="clear"/>
        </w:rPr>
        <w:t>(b) </w:t>
      </w:r>
      <w:r>
        <w:rPr>
          <w:rFonts w:ascii="Times New Roman;serif" w:hAnsi="Times New Roman;serif"/>
          <w:b w:val="false"/>
          <w:color w:val="000000"/>
          <w:sz w:val="20"/>
          <w:u w:val="single"/>
          <w:shd w:fill="FFFFFF" w:val="clear"/>
        </w:rPr>
        <w:t>Share Counting Rules</w:t>
      </w:r>
      <w:r>
        <w:rPr>
          <w:rFonts w:ascii="Times New Roman;serif" w:hAnsi="Times New Roman;serif"/>
          <w:b w:val="false"/>
          <w:color w:val="000000"/>
          <w:sz w:val="20"/>
          <w:shd w:fill="FFFFFF" w:val="clear"/>
        </w:rPr>
        <w:t xml:space="preserve">. </w:t>
      </w:r>
    </w:p>
    <w:p>
      <w:pPr>
        <w:pStyle w:val="TextBody"/>
        <w:bidi w:val="0"/>
        <w:spacing w:lineRule="auto" w:line="26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INNVENTURE, INC. </w:t>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143" name="Frame1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79.0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2024 EQUITY AND INCENTIVE COMPENSATION PLAN </w:t>
      </w:r>
    </w:p>
    <w:tbl>
      <w:tblPr>
        <w:tblW w:w="10205" w:type="dxa"/>
        <w:jc w:val="left"/>
        <w:tblInd w:w="0" w:type="dxa"/>
        <w:tblLayout w:type="fixed"/>
        <w:tblCellMar>
          <w:top w:w="28" w:type="dxa"/>
          <w:left w:w="28" w:type="dxa"/>
          <w:bottom w:w="28" w:type="dxa"/>
          <w:right w:w="28" w:type="dxa"/>
        </w:tblCellMar>
      </w:tblPr>
      <w:tblGrid>
        <w:gridCol w:w="124"/>
        <w:gridCol w:w="109"/>
        <w:gridCol w:w="109"/>
        <w:gridCol w:w="3092"/>
        <w:gridCol w:w="2795"/>
        <w:gridCol w:w="397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2"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c>
          <w:tcPr>
            <w:tcW w:w="397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20"/>
              </w:rPr>
              <w:t xml:space="preserve">Except as provided in </w:t>
            </w:r>
            <w:r>
              <w:rPr>
                <w:rFonts w:ascii="Times New Roman;serif" w:hAnsi="Times New Roman;serif"/>
                <w:b w:val="false"/>
                <w:color w:val="000000"/>
                <w:sz w:val="20"/>
                <w:u w:val="single"/>
              </w:rPr>
              <w:t>Section 22</w:t>
            </w:r>
            <w:r>
              <w:rPr>
                <w:color w:val="000000"/>
              </w:rPr>
              <w:t xml:space="preserve"> </w:t>
            </w:r>
            <w:r>
              <w:rPr>
                <w:rFonts w:ascii="Times New Roman;serif" w:hAnsi="Times New Roman;serif"/>
                <w:b w:val="false"/>
                <w:color w:val="000000"/>
                <w:sz w:val="20"/>
              </w:rPr>
              <w:t xml:space="preserve">of this Plan, if any award granted under this Plan (in whole or in part) is cancelled or forfeited, expires, is settled for cash, or is unearned, the Common Stock subject to such award will, to the extent of such cancellation, forfeiture, expiration, cash settlement, or unearned amount, again be available under </w:t>
            </w:r>
            <w:r>
              <w:rPr>
                <w:rFonts w:ascii="Times New Roman;serif" w:hAnsi="Times New Roman;serif"/>
                <w:b w:val="false"/>
                <w:color w:val="000000"/>
                <w:sz w:val="20"/>
                <w:u w:val="single"/>
              </w:rPr>
              <w:t>Section 3(a)(i)</w:t>
            </w:r>
            <w:r>
              <w:rPr>
                <w:color w:val="000000"/>
              </w:rPr>
              <w:t xml:space="preserve"> </w:t>
            </w:r>
            <w:r>
              <w:rPr>
                <w:rFonts w:ascii="Times New Roman;serif" w:hAnsi="Times New Roman;serif"/>
                <w:b w:val="false"/>
                <w:color w:val="000000"/>
                <w:sz w:val="20"/>
              </w:rPr>
              <w:t xml:space="preserve">above.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(ii)</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20"/>
              </w:rPr>
              <w:t xml:space="preserve">Notwithstanding anything to the contrary contained in this Plan: (A) shares of Common Stock withheld by the Company, tendered or otherwise used in payment of the Option Price of an Option Right will not be added (or added back, as applicable) to the aggregate number of shares of Common Stock available under </w:t>
            </w:r>
            <w:r>
              <w:rPr>
                <w:rFonts w:ascii="Times New Roman;serif" w:hAnsi="Times New Roman;serif"/>
                <w:b w:val="false"/>
                <w:color w:val="000000"/>
                <w:sz w:val="20"/>
                <w:u w:val="single"/>
              </w:rPr>
              <w:t>Section 3(a)(i)</w:t>
            </w:r>
            <w:r>
              <w:rPr>
                <w:color w:val="000000"/>
              </w:rPr>
              <w:t xml:space="preserve"> </w:t>
            </w:r>
            <w:r>
              <w:rPr>
                <w:rFonts w:ascii="Times New Roman;serif" w:hAnsi="Times New Roman;serif"/>
                <w:b w:val="false"/>
                <w:color w:val="000000"/>
                <w:sz w:val="20"/>
              </w:rPr>
              <w:t xml:space="preserve">of this Plan; (B) shares of Common Stock withheld by the Company, tendered or otherwise used to satisfy tax withholding with respect to awards (other than as described in clause (C)) will not be added (or added back, as applicable) to the aggregate number of shares of Common Stock available under </w:t>
            </w:r>
            <w:r>
              <w:rPr>
                <w:rFonts w:ascii="Times New Roman;serif" w:hAnsi="Times New Roman;serif"/>
                <w:b w:val="false"/>
                <w:color w:val="000000"/>
                <w:sz w:val="20"/>
                <w:u w:val="single"/>
              </w:rPr>
              <w:t>Section 3(a)(i)</w:t>
            </w:r>
            <w:r>
              <w:rPr>
                <w:color w:val="000000"/>
              </w:rPr>
              <w:t xml:space="preserve"> </w:t>
            </w:r>
            <w:r>
              <w:rPr>
                <w:rFonts w:ascii="Times New Roman;serif" w:hAnsi="Times New Roman;serif"/>
                <w:b w:val="false"/>
                <w:color w:val="000000"/>
                <w:sz w:val="20"/>
              </w:rPr>
              <w:t xml:space="preserve">of this Plan; (C) shares of Common Stock withheld by the Company, tendered or otherwise used to satisfy tax withholding with respect to awards other than Option Rights or Appreciation Rights will be added back to the aggregate number of shares of Common Stock available under </w:t>
            </w:r>
            <w:r>
              <w:rPr>
                <w:rFonts w:ascii="Times New Roman;serif" w:hAnsi="Times New Roman;serif"/>
                <w:b w:val="false"/>
                <w:color w:val="000000"/>
                <w:sz w:val="20"/>
                <w:u w:val="single"/>
              </w:rPr>
              <w:t>Section 3(a)(i)</w:t>
            </w:r>
            <w:r>
              <w:rPr>
                <w:color w:val="000000"/>
              </w:rPr>
              <w:t xml:space="preserve"> </w:t>
            </w:r>
            <w:r>
              <w:rPr>
                <w:rFonts w:ascii="Times New Roman;serif" w:hAnsi="Times New Roman;serif"/>
                <w:b w:val="false"/>
                <w:color w:val="000000"/>
                <w:sz w:val="20"/>
              </w:rPr>
              <w:t>of this Plan (provided, however, that such recycling of shares of Common Stock for tax withholding purposes will be limited to 10 years from the date of Stockholder approval of the Plan if such recycling involves shares of Common Stock that have actually been issued by the Company); (D) shares of Common Stock subject to a share-settled Appreciation Right that are not actually issued in connection with the settlement of such Appreciation Right on the exercise thereof will not be added back to the aggregate number of shares of Common Stock available under</w:t>
            </w:r>
            <w:r>
              <w:rPr>
                <w:color w:val="000000"/>
                <w:u w:val="single"/>
              </w:rPr>
              <w:t> </w:t>
            </w:r>
            <w:r>
              <w:rPr>
                <w:rFonts w:ascii="Times New Roman;serif" w:hAnsi="Times New Roman;serif"/>
                <w:b w:val="false"/>
                <w:color w:val="000000"/>
                <w:sz w:val="20"/>
                <w:u w:val="single"/>
              </w:rPr>
              <w:t>Section 3(a)(i)</w:t>
            </w:r>
            <w:r>
              <w:rPr>
                <w:color w:val="000000"/>
              </w:rPr>
              <w:t xml:space="preserve"> </w:t>
            </w:r>
            <w:r>
              <w:rPr>
                <w:rFonts w:ascii="Times New Roman;serif" w:hAnsi="Times New Roman;serif"/>
                <w:b w:val="false"/>
                <w:color w:val="000000"/>
                <w:sz w:val="20"/>
              </w:rPr>
              <w:t>of this Plan; and (E) shares of Common Stock reacquired by the Company on the open market or otherwise using cash proceeds from the exercise of Option Rights will not be added (or added back, as applicable) to the aggregate number of shares of Common Stock available under</w:t>
            </w:r>
            <w:r>
              <w:rPr>
                <w:color w:val="000000"/>
                <w:u w:val="single"/>
              </w:rPr>
              <w:t xml:space="preserve"> </w:t>
            </w:r>
            <w:r>
              <w:rPr>
                <w:rFonts w:ascii="Times New Roman;serif" w:hAnsi="Times New Roman;serif"/>
                <w:b w:val="false"/>
                <w:color w:val="000000"/>
                <w:sz w:val="20"/>
                <w:u w:val="single"/>
              </w:rPr>
              <w:t>Section 3(a)(i)</w:t>
            </w:r>
            <w:r>
              <w:rPr>
                <w:color w:val="000000"/>
              </w:rPr>
              <w:t xml:space="preserve"> </w:t>
            </w:r>
            <w:r>
              <w:rPr>
                <w:rFonts w:ascii="Times New Roman;serif" w:hAnsi="Times New Roman;serif"/>
                <w:b w:val="false"/>
                <w:color w:val="000000"/>
                <w:sz w:val="20"/>
              </w:rPr>
              <w:t xml:space="preserve">of this Plan. </w:t>
            </w:r>
          </w:p>
        </w:tc>
      </w:tr>
    </w:tbl>
    <w:tbl>
      <w:tblPr>
        <w:tblW w:w="10205" w:type="dxa"/>
        <w:jc w:val="left"/>
        <w:tblInd w:w="0" w:type="dxa"/>
        <w:tblLayout w:type="fixed"/>
        <w:tblCellMar>
          <w:top w:w="28" w:type="dxa"/>
          <w:left w:w="28" w:type="dxa"/>
          <w:bottom w:w="28" w:type="dxa"/>
          <w:right w:w="28" w:type="dxa"/>
        </w:tblCellMar>
      </w:tblPr>
      <w:tblGrid>
        <w:gridCol w:w="139"/>
        <w:gridCol w:w="123"/>
        <w:gridCol w:w="124"/>
        <w:gridCol w:w="2874"/>
        <w:gridCol w:w="2874"/>
        <w:gridCol w:w="4071"/>
      </w:tblGrid>
      <w:tr>
        <w:trPr/>
        <w:tc>
          <w:tcPr>
            <w:tcW w:w="13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874" w:type="dxa"/>
            <w:tcBorders/>
            <w:vAlign w:val="center"/>
          </w:tcPr>
          <w:p>
            <w:pPr>
              <w:pStyle w:val="TableContents"/>
              <w:bidi w:val="0"/>
              <w:spacing w:before="0" w:after="283"/>
              <w:jc w:val="left"/>
              <w:rPr>
                <w:sz w:val="4"/>
                <w:szCs w:val="4"/>
              </w:rPr>
            </w:pPr>
            <w:r>
              <w:rPr>
                <w:sz w:val="4"/>
                <w:szCs w:val="4"/>
              </w:rPr>
            </w:r>
          </w:p>
        </w:tc>
        <w:tc>
          <w:tcPr>
            <w:tcW w:w="2874" w:type="dxa"/>
            <w:tcBorders/>
            <w:vAlign w:val="center"/>
          </w:tcPr>
          <w:p>
            <w:pPr>
              <w:pStyle w:val="TableContents"/>
              <w:bidi w:val="0"/>
              <w:spacing w:before="0" w:after="283"/>
              <w:jc w:val="left"/>
              <w:rPr>
                <w:sz w:val="4"/>
                <w:szCs w:val="4"/>
              </w:rPr>
            </w:pPr>
            <w:r>
              <w:rPr>
                <w:sz w:val="4"/>
                <w:szCs w:val="4"/>
              </w:rPr>
            </w:r>
          </w:p>
        </w:tc>
        <w:tc>
          <w:tcPr>
            <w:tcW w:w="4071" w:type="dxa"/>
            <w:tcBorders/>
            <w:vAlign w:val="center"/>
          </w:tcPr>
          <w:p>
            <w:pPr>
              <w:pStyle w:val="TableContents"/>
              <w:bidi w:val="0"/>
              <w:spacing w:before="0" w:after="283"/>
              <w:jc w:val="left"/>
              <w:rPr>
                <w:sz w:val="4"/>
                <w:szCs w:val="4"/>
              </w:rPr>
            </w:pPr>
            <w:r>
              <w:rPr>
                <w:sz w:val="4"/>
                <w:szCs w:val="4"/>
              </w:rPr>
            </w:r>
          </w:p>
        </w:tc>
      </w:tr>
      <w:tr>
        <w:trPr/>
        <w:tc>
          <w:tcPr>
            <w:tcW w:w="3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(iii)</w:t>
            </w:r>
          </w:p>
        </w:tc>
        <w:tc>
          <w:tcPr>
            <w:tcW w:w="9819"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20"/>
              </w:rPr>
              <w:t xml:space="preserve">If, under this Plan, a Participant has elected to give up the right to receive cash compensation in exchange for Common Stock based on fair market value, such Common Stock will not count against the aggregate limit under </w:t>
            </w:r>
            <w:r>
              <w:rPr>
                <w:rFonts w:ascii="Times New Roman;serif" w:hAnsi="Times New Roman;serif"/>
                <w:b w:val="false"/>
                <w:color w:val="000000"/>
                <w:sz w:val="20"/>
                <w:u w:val="single"/>
              </w:rPr>
              <w:t>Section 3(a)(i)</w:t>
            </w:r>
            <w:r>
              <w:rPr>
                <w:color w:val="000000"/>
              </w:rPr>
              <w:t xml:space="preserve"> </w:t>
            </w:r>
            <w:r>
              <w:rPr>
                <w:rFonts w:ascii="Times New Roman;serif" w:hAnsi="Times New Roman;serif"/>
                <w:b w:val="false"/>
                <w:color w:val="000000"/>
                <w:sz w:val="20"/>
              </w:rPr>
              <w:t xml:space="preserve">of this Plan. </w:t>
            </w:r>
          </w:p>
        </w:tc>
      </w:tr>
    </w:tbl>
    <w:p>
      <w:pPr>
        <w:pStyle w:val="TextBody"/>
        <w:bidi w:val="0"/>
        <w:spacing w:lineRule="auto" w:line="288" w:before="120" w:after="120"/>
        <w:ind w:left="0" w:right="0" w:firstLine="400"/>
        <w:jc w:val="both"/>
        <w:rPr>
          <w:shd w:fill="FFFFFF" w:val="clear"/>
        </w:rPr>
      </w:pPr>
      <w:r>
        <w:rPr>
          <w:rFonts w:ascii="Times New Roman;serif" w:hAnsi="Times New Roman;serif"/>
          <w:b w:val="false"/>
          <w:color w:val="000000"/>
          <w:sz w:val="20"/>
          <w:shd w:fill="FFFFFF" w:val="clear"/>
        </w:rPr>
        <w:t>(c) </w:t>
      </w:r>
      <w:r>
        <w:rPr>
          <w:rFonts w:ascii="Times New Roman;serif" w:hAnsi="Times New Roman;serif"/>
          <w:b w:val="false"/>
          <w:color w:val="000000"/>
          <w:sz w:val="20"/>
          <w:u w:val="single"/>
          <w:shd w:fill="FFFFFF" w:val="clear"/>
        </w:rPr>
        <w:t>Limit on Incentive Stock Options</w:t>
      </w:r>
      <w:r>
        <w:rPr>
          <w:rFonts w:ascii="Times New Roman;serif" w:hAnsi="Times New Roman;serif"/>
          <w:b w:val="false"/>
          <w:color w:val="000000"/>
          <w:sz w:val="20"/>
          <w:shd w:fill="FFFFFF" w:val="clear"/>
        </w:rPr>
        <w:t xml:space="preserve">. Notwithstanding anything to the contrary contained in this Plan, and subject to adjustment as provided in </w:t>
      </w:r>
      <w:r>
        <w:rPr>
          <w:rFonts w:ascii="Times New Roman;serif" w:hAnsi="Times New Roman;serif"/>
          <w:b/>
          <w:color w:val="000000"/>
          <w:sz w:val="20"/>
          <w:u w:val="single"/>
          <w:shd w:fill="FFFFFF" w:val="clear"/>
        </w:rPr>
        <w:t>Section 11</w:t>
      </w:r>
      <w:r>
        <w:rPr>
          <w:color w:val="000000"/>
          <w:shd w:fill="FFFFFF" w:val="clear"/>
        </w:rPr>
        <w:t xml:space="preserve"> </w:t>
      </w:r>
      <w:r>
        <w:rPr>
          <w:rFonts w:ascii="Times New Roman;serif" w:hAnsi="Times New Roman;serif"/>
          <w:b w:val="false"/>
          <w:color w:val="000000"/>
          <w:sz w:val="20"/>
          <w:shd w:fill="FFFFFF" w:val="clear"/>
        </w:rPr>
        <w:t>of this Plan, the aggregate number of shares of Common Stock actually issued or transferred by the Company upon the exercise of Incentive Stock Options will not exceed 11,022,894 shares of Common Stock (the “</w:t>
      </w:r>
      <w:r>
        <w:rPr>
          <w:rFonts w:ascii="Times New Roman;serif" w:hAnsi="Times New Roman;serif"/>
          <w:b w:val="false"/>
          <w:color w:val="000000"/>
          <w:sz w:val="20"/>
          <w:u w:val="single"/>
          <w:shd w:fill="FFFFFF" w:val="clear"/>
        </w:rPr>
        <w:t>ISO Limit</w:t>
      </w:r>
      <w:r>
        <w:rPr>
          <w:color w:val="000000"/>
          <w:shd w:fill="FFFFFF" w:val="clear"/>
        </w:rPr>
        <w:t>”</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u w:val="single"/>
          <w:shd w:fill="FFFFFF" w:val="clear"/>
        </w:rPr>
        <w:t>provided</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u w:val="single"/>
          <w:shd w:fill="FFFFFF" w:val="clear"/>
        </w:rPr>
        <w:t>however</w:t>
      </w:r>
      <w:r>
        <w:rPr>
          <w:rFonts w:ascii="Times New Roman;serif" w:hAnsi="Times New Roman;serif"/>
          <w:b w:val="false"/>
          <w:color w:val="000000"/>
          <w:sz w:val="20"/>
          <w:shd w:fill="FFFFFF" w:val="clear"/>
        </w:rPr>
        <w:t xml:space="preserve">, that the ISO Limit will increase by 3,306,868 shares of Common Stock on the first day of each fiscal year beginning in 2025 and ending in 2034; </w:t>
      </w:r>
      <w:r>
        <w:rPr>
          <w:rFonts w:ascii="Times New Roman;serif" w:hAnsi="Times New Roman;serif"/>
          <w:b w:val="false"/>
          <w:color w:val="000000"/>
          <w:sz w:val="20"/>
          <w:u w:val="single"/>
          <w:shd w:fill="FFFFFF" w:val="clear"/>
        </w:rPr>
        <w:t>provided</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u w:val="single"/>
          <w:shd w:fill="FFFFFF" w:val="clear"/>
        </w:rPr>
        <w:t>further</w:t>
      </w:r>
      <w:r>
        <w:rPr>
          <w:rFonts w:ascii="Times New Roman;serif" w:hAnsi="Times New Roman;serif"/>
          <w:b w:val="false"/>
          <w:color w:val="000000"/>
          <w:sz w:val="20"/>
          <w:shd w:fill="FFFFFF" w:val="clear"/>
        </w:rPr>
        <w:t xml:space="preserve">, that in no event shall the ISO Limit exceed the Overall Share Limit. </w:t>
      </w:r>
    </w:p>
    <w:p>
      <w:pPr>
        <w:pStyle w:val="TextBody"/>
        <w:bidi w:val="0"/>
        <w:spacing w:lineRule="auto" w:line="288" w:before="120" w:after="120"/>
        <w:ind w:left="0" w:right="0" w:firstLine="400"/>
        <w:jc w:val="both"/>
        <w:rPr>
          <w:shd w:fill="FFFFFF" w:val="clear"/>
        </w:rPr>
      </w:pPr>
      <w:r>
        <w:rPr>
          <w:rFonts w:ascii="Times New Roman;serif" w:hAnsi="Times New Roman;serif"/>
          <w:b w:val="false"/>
          <w:color w:val="000000"/>
          <w:sz w:val="20"/>
          <w:shd w:fill="FFFFFF" w:val="clear"/>
        </w:rPr>
        <w:t>(d) </w:t>
      </w:r>
      <w:r>
        <w:rPr>
          <w:rFonts w:ascii="Times New Roman;serif" w:hAnsi="Times New Roman;serif"/>
          <w:b w:val="false"/>
          <w:color w:val="000000"/>
          <w:sz w:val="20"/>
          <w:u w:val="single"/>
          <w:shd w:fill="FFFFFF" w:val="clear"/>
        </w:rPr>
        <w:t>Non-Employee Director Compensation Limit</w:t>
      </w:r>
      <w:r>
        <w:rPr>
          <w:rFonts w:ascii="Times New Roman;serif" w:hAnsi="Times New Roman;serif"/>
          <w:b w:val="false"/>
          <w:color w:val="000000"/>
          <w:sz w:val="20"/>
          <w:shd w:fill="FFFFFF" w:val="clear"/>
        </w:rPr>
        <w:t xml:space="preserve">. Notwithstanding anything to the contrary contained in this Plan, in no event will any non-employee Director in any one calendar year be granted compensation, including cash compensation, for such service having an aggregate maximum value (measured at the Date of Grant as applicable, and calculating the value of any awards based on the grant date fair value for financial reporting purposes) in excess of $750,000; provided, however, that this limit shall not apply to distributions of previously deferred compensation under a deferred compensation plan maintained by the Company or compensation received by the director in his or her capacity as an executive officer or employee of the Company. </w:t>
      </w:r>
    </w:p>
    <w:p>
      <w:pPr>
        <w:pStyle w:val="TextBody"/>
        <w:bidi w:val="0"/>
        <w:spacing w:lineRule="auto" w:line="288" w:before="120" w:after="120"/>
        <w:ind w:left="0" w:right="0" w:firstLine="400"/>
        <w:jc w:val="both"/>
        <w:rPr>
          <w:shd w:fill="FFFFFF" w:val="clear"/>
        </w:rPr>
      </w:pPr>
      <w:r>
        <w:rPr>
          <w:rFonts w:ascii="Times New Roman;serif" w:hAnsi="Times New Roman;serif"/>
          <w:b w:val="false"/>
          <w:color w:val="000000"/>
          <w:sz w:val="20"/>
          <w:shd w:fill="FFFFFF" w:val="clear"/>
        </w:rPr>
        <w:t>4. </w:t>
      </w:r>
      <w:r>
        <w:rPr>
          <w:rFonts w:ascii="Times New Roman;serif" w:hAnsi="Times New Roman;serif"/>
          <w:b/>
          <w:color w:val="000000"/>
          <w:sz w:val="20"/>
          <w:shd w:fill="FFFFFF" w:val="clear"/>
        </w:rPr>
        <w:t xml:space="preserve">Option Rights. </w:t>
      </w:r>
      <w:r>
        <w:rPr>
          <w:rFonts w:ascii="Times New Roman;serif" w:hAnsi="Times New Roman;serif"/>
          <w:b w:val="false"/>
          <w:color w:val="000000"/>
          <w:sz w:val="20"/>
          <w:shd w:fill="FFFFFF" w:val="clear"/>
        </w:rPr>
        <w:t xml:space="preserve">The Committee may, from time to time and upon such terms and conditions as it may determine, authorize the granting to Participants of Option Rights. Each such grant may utilize any or all of the authorizations, and will be subject to all of the requirements, contained in the following provisions: </w:t>
      </w:r>
    </w:p>
    <w:p>
      <w:pPr>
        <w:pStyle w:val="TextBody"/>
        <w:bidi w:val="0"/>
        <w:spacing w:lineRule="auto" w:line="288" w:before="120" w:after="120"/>
        <w:ind w:left="0" w:right="0" w:firstLine="400"/>
        <w:jc w:val="both"/>
        <w:rPr>
          <w:shd w:fill="FFFFFF" w:val="clear"/>
        </w:rPr>
      </w:pPr>
      <w:r>
        <w:rPr>
          <w:rFonts w:ascii="Times New Roman;serif" w:hAnsi="Times New Roman;serif"/>
          <w:b w:val="false"/>
          <w:color w:val="000000"/>
          <w:sz w:val="20"/>
          <w:shd w:fill="FFFFFF" w:val="clear"/>
        </w:rPr>
        <w:t xml:space="preserve">(a) Each grant will specify the number of shares of Common Stock to which it pertains subject to the limitations set forth in </w:t>
      </w:r>
      <w:r>
        <w:rPr>
          <w:rFonts w:ascii="Times New Roman;serif" w:hAnsi="Times New Roman;serif"/>
          <w:b/>
          <w:color w:val="000000"/>
          <w:sz w:val="20"/>
          <w:u w:val="single"/>
          <w:shd w:fill="FFFFFF" w:val="clear"/>
        </w:rPr>
        <w:t>Section 3</w:t>
      </w:r>
      <w:r>
        <w:rPr>
          <w:color w:val="000000"/>
          <w:shd w:fill="FFFFFF" w:val="clear"/>
        </w:rPr>
        <w:t xml:space="preserve"> </w:t>
      </w:r>
      <w:r>
        <w:rPr>
          <w:rFonts w:ascii="Times New Roman;serif" w:hAnsi="Times New Roman;serif"/>
          <w:b w:val="false"/>
          <w:color w:val="000000"/>
          <w:sz w:val="20"/>
          <w:shd w:fill="FFFFFF" w:val="clear"/>
        </w:rPr>
        <w:t xml:space="preserve">of this Plan. </w:t>
      </w:r>
    </w:p>
    <w:p>
      <w:pPr>
        <w:pStyle w:val="TextBody"/>
        <w:bidi w:val="0"/>
        <w:spacing w:lineRule="auto" w:line="288" w:before="120" w:after="120"/>
        <w:ind w:left="0" w:right="0" w:firstLine="400"/>
        <w:jc w:val="both"/>
        <w:rPr>
          <w:shd w:fill="FFFFFF" w:val="clear"/>
        </w:rPr>
      </w:pPr>
      <w:r>
        <w:rPr>
          <w:rFonts w:ascii="Times New Roman;serif" w:hAnsi="Times New Roman;serif"/>
          <w:b w:val="false"/>
          <w:color w:val="000000"/>
          <w:sz w:val="20"/>
          <w:shd w:fill="FFFFFF" w:val="clear"/>
        </w:rPr>
        <w:t xml:space="preserve">(b) Each grant will specify an Option Price per share of Common Stock, which Option Price (except with respect to awards under </w:t>
      </w:r>
      <w:r>
        <w:rPr>
          <w:rFonts w:ascii="Times New Roman;serif" w:hAnsi="Times New Roman;serif"/>
          <w:b/>
          <w:color w:val="000000"/>
          <w:sz w:val="20"/>
          <w:u w:val="single"/>
          <w:shd w:fill="FFFFFF" w:val="clear"/>
        </w:rPr>
        <w:t>Section 22</w:t>
      </w:r>
      <w:r>
        <w:rPr>
          <w:color w:val="000000"/>
          <w:shd w:fill="FFFFFF" w:val="clear"/>
        </w:rPr>
        <w:t xml:space="preserve"> </w:t>
      </w:r>
      <w:r>
        <w:rPr>
          <w:rFonts w:ascii="Times New Roman;serif" w:hAnsi="Times New Roman;serif"/>
          <w:b w:val="false"/>
          <w:color w:val="000000"/>
          <w:sz w:val="20"/>
          <w:shd w:fill="FFFFFF" w:val="clear"/>
        </w:rPr>
        <w:t xml:space="preserve">of this Plan) may not be less than the Market Value per Share on the Date of Grant. </w:t>
      </w:r>
    </w:p>
    <w:p>
      <w:pPr>
        <w:pStyle w:val="TextBody"/>
        <w:bidi w:val="0"/>
        <w:spacing w:lineRule="auto" w:line="288" w:before="120" w:after="120"/>
        <w:ind w:left="0" w:right="0" w:firstLine="4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(c) Each grant will specify whether the Option Price will be payable (i) in cash, by check acceptable to the Company or by wire transfer of immediately available funds, (ii) by the actual or constructive transfer to the Company of Common Stock owned by the Optionee having a value at the time of exercise equal to the total Option Price, (iii) subject to any conditions or limitations established by the Committee, by the Company’s withholding of </w:t>
      </w:r>
    </w:p>
    <w:p>
      <w:pPr>
        <w:pStyle w:val="TextBody"/>
        <w:bidi w:val="0"/>
        <w:spacing w:lineRule="auto" w:line="26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INNVENTURE, INC. </w:t>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144" name="Frame1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79.0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2024 EQUITY AND INCENTIVE COMPENSATION PLAN </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Common Stock otherwise issuable upon exercise of an Option Right pursuant to a “net exercise” arrangement, (iv) by a combination of such methods of payment, or (v) by such other methods as may be approved by the Committee. </w:t>
      </w:r>
    </w:p>
    <w:p>
      <w:pPr>
        <w:pStyle w:val="TextBody"/>
        <w:bidi w:val="0"/>
        <w:spacing w:lineRule="auto" w:line="288" w:before="120" w:after="120"/>
        <w:ind w:left="0" w:right="0" w:firstLine="4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(d) To the extent permitted by law, any grant may provide for payment of the Option Price from the proceeds of sale through a bank or broker on a date satisfactory to the Company of some or all of the Common Stock to which such exercise relates. </w:t>
      </w:r>
    </w:p>
    <w:p>
      <w:pPr>
        <w:pStyle w:val="TextBody"/>
        <w:bidi w:val="0"/>
        <w:spacing w:lineRule="auto" w:line="288" w:before="120" w:after="120"/>
        <w:ind w:left="0" w:right="0" w:firstLine="4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(e) Each grant will specify the period or periods of continuous service by the Optionee with the Company or any Subsidiary, if any, that is necessary before any Option Rights or installments thereof will vest. Option Rights may provide for continued vesting or the earlier vesting of such Option Rights, including in the event of the retirement, death, disability or termination of employment or service of a Participant or in the event of a Change in Control. </w:t>
      </w:r>
    </w:p>
    <w:p>
      <w:pPr>
        <w:pStyle w:val="TextBody"/>
        <w:bidi w:val="0"/>
        <w:spacing w:lineRule="auto" w:line="288" w:before="120" w:after="120"/>
        <w:ind w:left="0" w:right="0" w:firstLine="4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(f) Any grant of Option Rights may specify Management Objectives regarding the vesting of such rights. </w:t>
      </w:r>
    </w:p>
    <w:p>
      <w:pPr>
        <w:pStyle w:val="TextBody"/>
        <w:bidi w:val="0"/>
        <w:spacing w:lineRule="auto" w:line="288" w:before="120" w:after="120"/>
        <w:ind w:left="0" w:right="0" w:firstLine="4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(g) Option Rights granted under this Plan may be (i) options, including Incentive Stock Options, that are intended to qualify under particular provisions of the Code, (ii) options that are not intended to so qualify, or (iii) combinations of the foregoing. Incentive Stock Options may only be granted to Participants who meet the definition of “employees” under Section 3401(c) of the Code. </w:t>
      </w:r>
    </w:p>
    <w:p>
      <w:pPr>
        <w:pStyle w:val="TextBody"/>
        <w:bidi w:val="0"/>
        <w:spacing w:lineRule="auto" w:line="288" w:before="120" w:after="120"/>
        <w:ind w:left="0" w:right="0" w:firstLine="4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(h) No Option Right will be exercisable more than 10 years from the Date of Grant. The Committee may provide in any Evidence of Award for the automatic exercise of an Option Right upon such terms and conditions as established by the Committee. </w:t>
      </w:r>
    </w:p>
    <w:p>
      <w:pPr>
        <w:pStyle w:val="TextBody"/>
        <w:bidi w:val="0"/>
        <w:spacing w:lineRule="auto" w:line="288" w:before="120" w:after="120"/>
        <w:ind w:left="0" w:right="0" w:firstLine="4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(i) Option Rights granted under this Plan may not provide for any dividends or dividend equivalents thereon. </w:t>
      </w:r>
    </w:p>
    <w:p>
      <w:pPr>
        <w:pStyle w:val="TextBody"/>
        <w:bidi w:val="0"/>
        <w:spacing w:lineRule="auto" w:line="288" w:before="120" w:after="120"/>
        <w:ind w:left="0" w:right="0" w:firstLine="4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(j) Each grant of Option Rights will be evidenced by an Evidence of Award. Each Evidence of Award will be subject to this Plan and will contain such terms and provisions, consistent with this Plan, as the Committee may approve. </w:t>
      </w:r>
    </w:p>
    <w:p>
      <w:pPr>
        <w:pStyle w:val="TextBody"/>
        <w:bidi w:val="0"/>
        <w:spacing w:lineRule="auto" w:line="288" w:before="120" w:after="120"/>
        <w:ind w:left="0" w:right="0" w:firstLine="400"/>
        <w:jc w:val="left"/>
        <w:rPr>
          <w:shd w:fill="FFFFFF" w:val="clear"/>
        </w:rPr>
      </w:pPr>
      <w:r>
        <w:rPr>
          <w:rFonts w:ascii="Times New Roman;serif" w:hAnsi="Times New Roman;serif"/>
          <w:b w:val="false"/>
          <w:color w:val="000000"/>
          <w:sz w:val="20"/>
          <w:shd w:fill="FFFFFF" w:val="clear"/>
        </w:rPr>
        <w:t>5. </w:t>
      </w:r>
      <w:r>
        <w:rPr>
          <w:rFonts w:ascii="Times New Roman;serif" w:hAnsi="Times New Roman;serif"/>
          <w:b/>
          <w:color w:val="000000"/>
          <w:sz w:val="20"/>
          <w:shd w:fill="FFFFFF" w:val="clear"/>
        </w:rPr>
        <w:t>Appreciation Rights</w:t>
      </w:r>
      <w:r>
        <w:rPr>
          <w:rFonts w:ascii="Times New Roman;serif" w:hAnsi="Times New Roman;serif"/>
          <w:b w:val="false"/>
          <w:color w:val="000000"/>
          <w:sz w:val="20"/>
          <w:shd w:fill="FFFFFF" w:val="clear"/>
        </w:rPr>
        <w:t xml:space="preserve">. </w:t>
      </w:r>
    </w:p>
    <w:p>
      <w:pPr>
        <w:pStyle w:val="TextBody"/>
        <w:bidi w:val="0"/>
        <w:spacing w:lineRule="auto" w:line="288" w:before="120" w:after="120"/>
        <w:ind w:left="0" w:right="0" w:firstLine="4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(a) The Committee may, from time to time and upon such terms and conditions as it may determine, authorize the granting to any Participant of Appreciation Rights. An Appreciation Right will be the right of the Participant to receive from the Company an amount determined by the Committee, which will be expressed as a percentage of the Spread (not exceeding 100%) at the time of exercise. </w:t>
      </w:r>
    </w:p>
    <w:p>
      <w:pPr>
        <w:pStyle w:val="TextBody"/>
        <w:bidi w:val="0"/>
        <w:spacing w:lineRule="auto" w:line="288" w:before="120" w:after="120"/>
        <w:ind w:left="0" w:right="0" w:firstLine="4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(b) Each grant of Appreciation Rights may utilize any or all of the authorizations, and will be subject to all of the requirements, contained in the following provisions: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Each grant may specify that the amount payable on exercise of an Appreciation Right will be paid by the Company in cash, Common Stock or any combination thereof. </w:t>
            </w:r>
          </w:p>
        </w:tc>
      </w:tr>
    </w:tbl>
    <w:p>
      <w:pPr>
        <w:pStyle w:val="TextBody"/>
        <w:bidi w:val="0"/>
        <w:spacing w:before="120" w:after="120"/>
        <w:jc w:val="left"/>
        <w:rPr/>
      </w:pPr>
      <w:r>
        <w:rPr/>
      </w:r>
    </w:p>
    <w:tbl>
      <w:tblPr>
        <w:tblW w:w="10205" w:type="dxa"/>
        <w:jc w:val="left"/>
        <w:tblInd w:w="0" w:type="dxa"/>
        <w:tblLayout w:type="fixed"/>
        <w:tblCellMar>
          <w:top w:w="28" w:type="dxa"/>
          <w:left w:w="28" w:type="dxa"/>
          <w:bottom w:w="28" w:type="dxa"/>
          <w:right w:w="28" w:type="dxa"/>
        </w:tblCellMar>
      </w:tblPr>
      <w:tblGrid>
        <w:gridCol w:w="125"/>
        <w:gridCol w:w="110"/>
        <w:gridCol w:w="110"/>
        <w:gridCol w:w="2886"/>
        <w:gridCol w:w="2886"/>
        <w:gridCol w:w="4088"/>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88"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(ii)</w:t>
            </w:r>
          </w:p>
        </w:tc>
        <w:tc>
          <w:tcPr>
            <w:tcW w:w="98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Each grant will specify the period or periods of continuous service by the Participant with the Company or any Subsidiary, if any, that is necessary before the Appreciation Rights or installments thereof will vest. Appreciation Rights may provide for continued vesting or the earlier vesting of such Appreciation Rights, including in the event of the retirement, death, disability or termination of employment or service of a Participant or in the event of a Change in Control. </w:t>
            </w:r>
          </w:p>
        </w:tc>
      </w:tr>
    </w:tbl>
    <w:p>
      <w:pPr>
        <w:pStyle w:val="TextBody"/>
        <w:bidi w:val="0"/>
        <w:spacing w:before="120" w:after="120"/>
        <w:jc w:val="left"/>
        <w:rPr/>
      </w:pPr>
      <w:r>
        <w:rPr/>
      </w:r>
    </w:p>
    <w:tbl>
      <w:tblPr>
        <w:tblW w:w="10205" w:type="dxa"/>
        <w:jc w:val="left"/>
        <w:tblInd w:w="0" w:type="dxa"/>
        <w:tblLayout w:type="fixed"/>
        <w:tblCellMar>
          <w:top w:w="28" w:type="dxa"/>
          <w:left w:w="28" w:type="dxa"/>
          <w:bottom w:w="28" w:type="dxa"/>
          <w:right w:w="28" w:type="dxa"/>
        </w:tblCellMar>
      </w:tblPr>
      <w:tblGrid>
        <w:gridCol w:w="150"/>
        <w:gridCol w:w="133"/>
        <w:gridCol w:w="134"/>
        <w:gridCol w:w="2865"/>
        <w:gridCol w:w="2865"/>
        <w:gridCol w:w="4058"/>
      </w:tblGrid>
      <w:tr>
        <w:trPr/>
        <w:tc>
          <w:tcPr>
            <w:tcW w:w="15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865" w:type="dxa"/>
            <w:tcBorders/>
            <w:vAlign w:val="center"/>
          </w:tcPr>
          <w:p>
            <w:pPr>
              <w:pStyle w:val="TableContents"/>
              <w:bidi w:val="0"/>
              <w:spacing w:before="0" w:after="283"/>
              <w:jc w:val="left"/>
              <w:rPr>
                <w:sz w:val="4"/>
                <w:szCs w:val="4"/>
              </w:rPr>
            </w:pPr>
            <w:r>
              <w:rPr>
                <w:sz w:val="4"/>
                <w:szCs w:val="4"/>
              </w:rPr>
            </w:r>
          </w:p>
        </w:tc>
        <w:tc>
          <w:tcPr>
            <w:tcW w:w="2865" w:type="dxa"/>
            <w:tcBorders/>
            <w:vAlign w:val="center"/>
          </w:tcPr>
          <w:p>
            <w:pPr>
              <w:pStyle w:val="TableContents"/>
              <w:bidi w:val="0"/>
              <w:spacing w:before="0" w:after="283"/>
              <w:jc w:val="left"/>
              <w:rPr>
                <w:sz w:val="4"/>
                <w:szCs w:val="4"/>
              </w:rPr>
            </w:pPr>
            <w:r>
              <w:rPr>
                <w:sz w:val="4"/>
                <w:szCs w:val="4"/>
              </w:rPr>
            </w:r>
          </w:p>
        </w:tc>
        <w:tc>
          <w:tcPr>
            <w:tcW w:w="4058" w:type="dxa"/>
            <w:tcBorders/>
            <w:vAlign w:val="center"/>
          </w:tcPr>
          <w:p>
            <w:pPr>
              <w:pStyle w:val="TableContents"/>
              <w:bidi w:val="0"/>
              <w:spacing w:before="0" w:after="283"/>
              <w:jc w:val="left"/>
              <w:rPr>
                <w:sz w:val="4"/>
                <w:szCs w:val="4"/>
              </w:rPr>
            </w:pPr>
            <w:r>
              <w:rPr>
                <w:sz w:val="4"/>
                <w:szCs w:val="4"/>
              </w:rPr>
            </w:r>
          </w:p>
        </w:tc>
      </w:tr>
      <w:tr>
        <w:trPr/>
        <w:tc>
          <w:tcPr>
            <w:tcW w:w="4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(iii)</w:t>
            </w:r>
          </w:p>
        </w:tc>
        <w:tc>
          <w:tcPr>
            <w:tcW w:w="978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Any grant of Appreciation Rights may specify Management Objectives regarding the vesting of such Appreciation Rights. </w:t>
            </w:r>
          </w:p>
        </w:tc>
      </w:tr>
    </w:tbl>
    <w:p>
      <w:pPr>
        <w:pStyle w:val="TextBody"/>
        <w:bidi w:val="0"/>
        <w:spacing w:before="120" w:after="120"/>
        <w:jc w:val="left"/>
        <w:rPr/>
      </w:pPr>
      <w:r>
        <w:rPr/>
      </w:r>
    </w:p>
    <w:tbl>
      <w:tblPr>
        <w:tblW w:w="9704" w:type="dxa"/>
        <w:jc w:val="left"/>
        <w:tblInd w:w="0" w:type="dxa"/>
        <w:tblLayout w:type="fixed"/>
        <w:tblCellMar>
          <w:top w:w="28" w:type="dxa"/>
          <w:left w:w="28" w:type="dxa"/>
          <w:bottom w:w="28" w:type="dxa"/>
          <w:right w:w="28" w:type="dxa"/>
        </w:tblCellMar>
      </w:tblPr>
      <w:tblGrid>
        <w:gridCol w:w="146"/>
        <w:gridCol w:w="129"/>
        <w:gridCol w:w="130"/>
        <w:gridCol w:w="2722"/>
        <w:gridCol w:w="2722"/>
        <w:gridCol w:w="3855"/>
      </w:tblGrid>
      <w:tr>
        <w:trPr/>
        <w:tc>
          <w:tcPr>
            <w:tcW w:w="14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722" w:type="dxa"/>
            <w:tcBorders/>
            <w:vAlign w:val="center"/>
          </w:tcPr>
          <w:p>
            <w:pPr>
              <w:pStyle w:val="TableContents"/>
              <w:bidi w:val="0"/>
              <w:spacing w:before="0" w:after="283"/>
              <w:jc w:val="left"/>
              <w:rPr>
                <w:sz w:val="4"/>
                <w:szCs w:val="4"/>
              </w:rPr>
            </w:pPr>
            <w:r>
              <w:rPr>
                <w:sz w:val="4"/>
                <w:szCs w:val="4"/>
              </w:rPr>
            </w:r>
          </w:p>
        </w:tc>
        <w:tc>
          <w:tcPr>
            <w:tcW w:w="2722" w:type="dxa"/>
            <w:tcBorders/>
            <w:vAlign w:val="center"/>
          </w:tcPr>
          <w:p>
            <w:pPr>
              <w:pStyle w:val="TableContents"/>
              <w:bidi w:val="0"/>
              <w:spacing w:before="0" w:after="283"/>
              <w:jc w:val="left"/>
              <w:rPr>
                <w:sz w:val="4"/>
                <w:szCs w:val="4"/>
              </w:rPr>
            </w:pPr>
            <w:r>
              <w:rPr>
                <w:sz w:val="4"/>
                <w:szCs w:val="4"/>
              </w:rPr>
            </w:r>
          </w:p>
        </w:tc>
        <w:tc>
          <w:tcPr>
            <w:tcW w:w="3855" w:type="dxa"/>
            <w:tcBorders/>
            <w:vAlign w:val="center"/>
          </w:tcPr>
          <w:p>
            <w:pPr>
              <w:pStyle w:val="TableContents"/>
              <w:bidi w:val="0"/>
              <w:spacing w:before="0" w:after="283"/>
              <w:jc w:val="left"/>
              <w:rPr>
                <w:sz w:val="4"/>
                <w:szCs w:val="4"/>
              </w:rPr>
            </w:pPr>
            <w:r>
              <w:rPr>
                <w:sz w:val="4"/>
                <w:szCs w:val="4"/>
              </w:rPr>
            </w:r>
          </w:p>
        </w:tc>
      </w:tr>
      <w:tr>
        <w:trPr/>
        <w:tc>
          <w:tcPr>
            <w:tcW w:w="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(iv)</w:t>
            </w:r>
          </w:p>
        </w:tc>
        <w:tc>
          <w:tcPr>
            <w:tcW w:w="929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Appreciation Rights granted under this Plan may not provide for any dividends or dividend equivalents thereon. </w:t>
            </w:r>
          </w:p>
        </w:tc>
      </w:tr>
    </w:tbl>
    <w:p>
      <w:pPr>
        <w:pStyle w:val="TextBody"/>
        <w:bidi w:val="0"/>
        <w:spacing w:before="120" w:after="120"/>
        <w:jc w:val="left"/>
        <w:rPr/>
      </w:pPr>
      <w:r>
        <w:rPr/>
      </w:r>
    </w:p>
    <w:p>
      <w:pPr>
        <w:pStyle w:val="TextBody"/>
        <w:bidi w:val="0"/>
        <w:spacing w:lineRule="auto" w:line="26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INNVENTURE, INC. </w:t>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145" name="Frame1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79.0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2024 EQUITY AND INCENTIVE COMPENSATION PLAN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Each grant of Appreciation Rights will be evidenced by an Evidence of Award. Each Evidence of Award will be subject to this Plan and will contain such terms and provisions, consistent with this Plan, as the Committee may approve. </w:t>
            </w:r>
          </w:p>
        </w:tc>
      </w:tr>
    </w:tbl>
    <w:p>
      <w:pPr>
        <w:pStyle w:val="TextBody"/>
        <w:bidi w:val="0"/>
        <w:spacing w:lineRule="auto" w:line="288" w:before="120" w:after="12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(c) Also, regarding Appreciation Rights: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20"/>
              </w:rPr>
              <w:t xml:space="preserve">Each grant will specify in respect of each Appreciation Right a Base Price, which (except with respect to awards under </w:t>
            </w:r>
            <w:r>
              <w:rPr>
                <w:rFonts w:ascii="Times New Roman;serif" w:hAnsi="Times New Roman;serif"/>
                <w:b/>
                <w:color w:val="000000"/>
                <w:sz w:val="20"/>
                <w:u w:val="single"/>
              </w:rPr>
              <w:t>Section 22</w:t>
            </w:r>
            <w:r>
              <w:rPr>
                <w:color w:val="000000"/>
              </w:rPr>
              <w:t xml:space="preserve"> </w:t>
            </w:r>
            <w:r>
              <w:rPr>
                <w:rFonts w:ascii="Times New Roman;serif" w:hAnsi="Times New Roman;serif"/>
                <w:b w:val="false"/>
                <w:color w:val="000000"/>
                <w:sz w:val="20"/>
              </w:rPr>
              <w:t xml:space="preserve">of this Plan) may not be less than the Market Value per Share on the Date of Grant; and </w:t>
            </w:r>
          </w:p>
        </w:tc>
      </w:tr>
    </w:tbl>
    <w:p>
      <w:pPr>
        <w:pStyle w:val="TextBody"/>
        <w:bidi w:val="0"/>
        <w:spacing w:before="120" w:after="120"/>
        <w:jc w:val="left"/>
        <w:rPr/>
      </w:pPr>
      <w:r>
        <w:rPr/>
      </w:r>
    </w:p>
    <w:tbl>
      <w:tblPr>
        <w:tblW w:w="10205" w:type="dxa"/>
        <w:jc w:val="left"/>
        <w:tblInd w:w="0" w:type="dxa"/>
        <w:tblLayout w:type="fixed"/>
        <w:tblCellMar>
          <w:top w:w="28" w:type="dxa"/>
          <w:left w:w="28" w:type="dxa"/>
          <w:bottom w:w="28" w:type="dxa"/>
          <w:right w:w="28" w:type="dxa"/>
        </w:tblCellMar>
      </w:tblPr>
      <w:tblGrid>
        <w:gridCol w:w="126"/>
        <w:gridCol w:w="111"/>
        <w:gridCol w:w="111"/>
        <w:gridCol w:w="2885"/>
        <w:gridCol w:w="2885"/>
        <w:gridCol w:w="4087"/>
      </w:tblGrid>
      <w:tr>
        <w:trPr/>
        <w:tc>
          <w:tcPr>
            <w:tcW w:w="12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(ii)</w:t>
            </w:r>
          </w:p>
        </w:tc>
        <w:tc>
          <w:tcPr>
            <w:tcW w:w="985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No Appreciation Right granted under this Plan may be exercised more than 10 years from the Date of Grant. The Committee may provide in any Evidence of Award for the automatic exercise of an Appreciation Right upon such terms and conditions as established by the Committee. </w:t>
            </w:r>
          </w:p>
        </w:tc>
      </w:tr>
    </w:tbl>
    <w:p>
      <w:pPr>
        <w:pStyle w:val="TextBody"/>
        <w:bidi w:val="0"/>
        <w:spacing w:lineRule="auto" w:line="288" w:before="120" w:after="120"/>
        <w:ind w:left="0" w:right="0" w:firstLine="400"/>
        <w:jc w:val="both"/>
        <w:rPr>
          <w:shd w:fill="FFFFFF" w:val="clear"/>
        </w:rPr>
      </w:pPr>
      <w:r>
        <w:rPr>
          <w:rFonts w:ascii="Times New Roman;serif" w:hAnsi="Times New Roman;serif"/>
          <w:b w:val="false"/>
          <w:color w:val="000000"/>
          <w:sz w:val="20"/>
          <w:shd w:fill="FFFFFF" w:val="clear"/>
        </w:rPr>
        <w:t>6. </w:t>
      </w:r>
      <w:r>
        <w:rPr>
          <w:rFonts w:ascii="Times New Roman;serif" w:hAnsi="Times New Roman;serif"/>
          <w:b/>
          <w:color w:val="000000"/>
          <w:sz w:val="20"/>
          <w:shd w:fill="FFFFFF" w:val="clear"/>
        </w:rPr>
        <w:t>Restricted Stock.</w:t>
      </w:r>
      <w:r>
        <w:rPr>
          <w:color w:val="000000"/>
          <w:shd w:fill="FFFFFF" w:val="clear"/>
        </w:rPr>
        <w:t xml:space="preserve"> </w:t>
      </w:r>
      <w:r>
        <w:rPr>
          <w:rFonts w:ascii="Times New Roman;serif" w:hAnsi="Times New Roman;serif"/>
          <w:b w:val="false"/>
          <w:color w:val="000000"/>
          <w:sz w:val="20"/>
          <w:shd w:fill="FFFFFF" w:val="clear"/>
        </w:rPr>
        <w:t xml:space="preserve">The Committee may, from time to time and upon such terms and conditions as it may determine, authorize the grant or sale of Restricted Stock to Participants. Each such grant or sale may utilize any or all of the authorizations, and will be subject to all of the requirements, contained in the following provisions: </w:t>
      </w:r>
    </w:p>
    <w:p>
      <w:pPr>
        <w:pStyle w:val="TextBody"/>
        <w:bidi w:val="0"/>
        <w:spacing w:lineRule="auto" w:line="288" w:before="120" w:after="120"/>
        <w:ind w:left="0" w:right="0" w:firstLine="400"/>
        <w:jc w:val="both"/>
        <w:rPr>
          <w:shd w:fill="FFFFFF" w:val="clear"/>
        </w:rPr>
      </w:pPr>
      <w:r>
        <w:rPr>
          <w:rFonts w:ascii="Times New Roman;serif" w:hAnsi="Times New Roman;serif"/>
          <w:b w:val="false"/>
          <w:color w:val="000000"/>
          <w:sz w:val="20"/>
          <w:shd w:fill="FFFFFF" w:val="clear"/>
        </w:rPr>
        <w:t xml:space="preserve">(a) Each such grant or sale will constitute an immediate transfer of the ownership of shares of Common Stock to the Participant in consideration of the performance of services, entitling such Participant to voting, dividend and other ownership rights (subject in particular to </w:t>
      </w:r>
      <w:r>
        <w:rPr>
          <w:rFonts w:ascii="Times New Roman;serif" w:hAnsi="Times New Roman;serif"/>
          <w:b/>
          <w:color w:val="000000"/>
          <w:sz w:val="20"/>
          <w:u w:val="single"/>
          <w:shd w:fill="FFFFFF" w:val="clear"/>
        </w:rPr>
        <w:t>Section 6(g)</w:t>
      </w:r>
      <w:r>
        <w:rPr>
          <w:color w:val="000000"/>
          <w:shd w:fill="FFFFFF" w:val="clear"/>
        </w:rPr>
        <w:t xml:space="preserve"> </w:t>
      </w:r>
      <w:r>
        <w:rPr>
          <w:rFonts w:ascii="Times New Roman;serif" w:hAnsi="Times New Roman;serif"/>
          <w:b w:val="false"/>
          <w:color w:val="000000"/>
          <w:sz w:val="20"/>
          <w:shd w:fill="FFFFFF" w:val="clear"/>
        </w:rPr>
        <w:t xml:space="preserve">of this Plan), but subject to the substantial risk of forfeiture and restrictions on transfer hereinafter described. </w:t>
      </w:r>
    </w:p>
    <w:p>
      <w:pPr>
        <w:pStyle w:val="TextBody"/>
        <w:bidi w:val="0"/>
        <w:spacing w:lineRule="auto" w:line="288" w:before="120" w:after="120"/>
        <w:ind w:left="0" w:right="0" w:firstLine="4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(b) Each such grant or sale may be made without additional consideration or in consideration of a payment by such Participant that is less than the Market Value per Share on the Date of Grant. </w:t>
      </w:r>
    </w:p>
    <w:p>
      <w:pPr>
        <w:pStyle w:val="TextBody"/>
        <w:bidi w:val="0"/>
        <w:spacing w:lineRule="auto" w:line="288" w:before="120" w:after="120"/>
        <w:ind w:left="0" w:right="0" w:firstLine="400"/>
        <w:jc w:val="both"/>
        <w:rPr>
          <w:shd w:fill="FFFFFF" w:val="clear"/>
        </w:rPr>
      </w:pPr>
      <w:r>
        <w:rPr>
          <w:rFonts w:ascii="Times New Roman;serif" w:hAnsi="Times New Roman;serif"/>
          <w:b w:val="false"/>
          <w:color w:val="000000"/>
          <w:sz w:val="20"/>
          <w:shd w:fill="FFFFFF" w:val="clear"/>
        </w:rPr>
        <w:t xml:space="preserve">(c) Each such grant or sale will provide that the Restricted Stock covered by such grant or sale will be subject to a “substantial risk of forfeiture” within the meaning of Section 83 of the Code for a period to be determined by the Committee on the Date of Grant or until achievement of Management Objectives referred to in </w:t>
      </w:r>
      <w:r>
        <w:rPr>
          <w:rFonts w:ascii="Times New Roman;serif" w:hAnsi="Times New Roman;serif"/>
          <w:b/>
          <w:color w:val="000000"/>
          <w:sz w:val="20"/>
          <w:u w:val="single"/>
          <w:shd w:fill="FFFFFF" w:val="clear"/>
        </w:rPr>
        <w:t>Section 6(e)</w:t>
      </w:r>
      <w:r>
        <w:rPr>
          <w:color w:val="000000"/>
          <w:shd w:fill="FFFFFF" w:val="clear"/>
        </w:rPr>
        <w:t xml:space="preserve"> </w:t>
      </w:r>
      <w:r>
        <w:rPr>
          <w:rFonts w:ascii="Times New Roman;serif" w:hAnsi="Times New Roman;serif"/>
          <w:b w:val="false"/>
          <w:color w:val="000000"/>
          <w:sz w:val="20"/>
          <w:shd w:fill="FFFFFF" w:val="clear"/>
        </w:rPr>
        <w:t xml:space="preserve">of this Plan. </w:t>
      </w:r>
    </w:p>
    <w:p>
      <w:pPr>
        <w:pStyle w:val="TextBody"/>
        <w:bidi w:val="0"/>
        <w:spacing w:lineRule="auto" w:line="288" w:before="120" w:after="120"/>
        <w:ind w:left="0" w:right="0" w:firstLine="4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(d) Each such grant or sale will provide that during or after the period for which such substantial risk of forfeiture is to continue, the transferability of the Restricted Stock will be prohibited or restricted in the manner and to the extent prescribed by the Committee on the Date of Grant (which restrictions may include rights of repurchase or first refusal of the Company or provisions subjecting the Restricted Stock to a continuing substantial risk of forfeiture while held by any transferee). </w:t>
      </w:r>
    </w:p>
    <w:p>
      <w:pPr>
        <w:pStyle w:val="TextBody"/>
        <w:bidi w:val="0"/>
        <w:spacing w:lineRule="auto" w:line="288" w:before="120" w:after="120"/>
        <w:ind w:left="0" w:right="0" w:firstLine="4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(e) Any grant of Restricted Stock may specify Management Objectives regarding the vesting of such Restricted Stock. </w:t>
      </w:r>
    </w:p>
    <w:p>
      <w:pPr>
        <w:pStyle w:val="TextBody"/>
        <w:bidi w:val="0"/>
        <w:spacing w:lineRule="auto" w:line="288" w:before="120" w:after="120"/>
        <w:ind w:left="0" w:right="0" w:firstLine="4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(f) Notwithstanding anything to the contrary contained in this Plan, Restricted Stock may provide for continued vesting or the earlier vesting of such Restricted Stock, including in the event of the retirement, death, disability or termination of employment or service of a Participant or in the event of a Change in Control. </w:t>
      </w:r>
    </w:p>
    <w:p>
      <w:pPr>
        <w:pStyle w:val="TextBody"/>
        <w:bidi w:val="0"/>
        <w:spacing w:lineRule="auto" w:line="288" w:before="120" w:after="120"/>
        <w:ind w:left="0" w:right="0" w:firstLine="4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(g) Any such grant or sale of Restricted Stock may require that any and all dividends or other distributions paid thereon during the period of such restrictions be automatically deferred and/or reinvested in additional Restricted Stock, which will be subject to the same restrictions as the underlying award. For the avoidance of doubt, any such dividends or other distributions on Restricted Stock shall be deferred until, and paid contingent upon, the vesting of such Restricted Stock. </w:t>
      </w:r>
    </w:p>
    <w:p>
      <w:pPr>
        <w:pStyle w:val="TextBody"/>
        <w:bidi w:val="0"/>
        <w:spacing w:lineRule="auto" w:line="288" w:before="120" w:after="120"/>
        <w:ind w:left="0" w:right="0" w:firstLine="4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(h) Each grant or sale of Restricted Stock will be evidenced by an Evidence of Award. Each Evidence of Award will be subject to this Plan and will contain such terms and provisions, consistent with this Plan, as the Committee may approve. Unless otherwise directed by the Committee, (i) all certificates representing Restricted Stock will be held in custody by the Company until all restrictions thereon will have lapsed, together with a stock power or powers executed by the Participant in whose name such certificates are registered, endorsed in blank and covering such shares or (ii) all Restricted Stock will be held at the Company’s transfer agent in book entry form with appropriate restrictions relating to the transfer of such Restricted Stock. </w:t>
      </w:r>
    </w:p>
    <w:p>
      <w:pPr>
        <w:pStyle w:val="TextBody"/>
        <w:bidi w:val="0"/>
        <w:spacing w:lineRule="auto" w:line="288" w:before="120" w:after="120"/>
        <w:ind w:left="0" w:right="0" w:firstLine="400"/>
        <w:jc w:val="both"/>
        <w:rPr>
          <w:shd w:fill="FFFFFF" w:val="clear"/>
        </w:rPr>
      </w:pPr>
      <w:r>
        <w:rPr>
          <w:rFonts w:ascii="Times New Roman;serif" w:hAnsi="Times New Roman;serif"/>
          <w:b w:val="false"/>
          <w:color w:val="000000"/>
          <w:sz w:val="20"/>
          <w:shd w:fill="FFFFFF" w:val="clear"/>
        </w:rPr>
        <w:t>7. </w:t>
      </w:r>
      <w:r>
        <w:rPr>
          <w:rFonts w:ascii="Times New Roman;serif" w:hAnsi="Times New Roman;serif"/>
          <w:b/>
          <w:color w:val="000000"/>
          <w:sz w:val="20"/>
          <w:shd w:fill="FFFFFF" w:val="clear"/>
        </w:rPr>
        <w:t>Restricted Stock Units.</w:t>
      </w:r>
      <w:r>
        <w:rPr>
          <w:color w:val="000000"/>
          <w:shd w:fill="FFFFFF" w:val="clear"/>
        </w:rPr>
        <w:t xml:space="preserve"> </w:t>
      </w:r>
      <w:r>
        <w:rPr>
          <w:rFonts w:ascii="Times New Roman;serif" w:hAnsi="Times New Roman;serif"/>
          <w:b w:val="false"/>
          <w:color w:val="000000"/>
          <w:sz w:val="20"/>
          <w:shd w:fill="FFFFFF" w:val="clear"/>
        </w:rPr>
        <w:t xml:space="preserve">The Committee may, from time to time and upon such terms and conditions as it may determine, authorize the granting or sale of Restricted Stock Units to Participants. Each such grant or sale may </w:t>
      </w:r>
    </w:p>
    <w:p>
      <w:pPr>
        <w:pStyle w:val="TextBody"/>
        <w:bidi w:val="0"/>
        <w:spacing w:lineRule="auto" w:line="26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INNVENTURE, INC. </w:t>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685"/>
                <wp:effectExtent l="0" t="0" r="0" b="0"/>
                <wp:wrapNone/>
                <wp:docPr id="146" name="Frame1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79.0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2024 EQUITY AND INCENTIVE COMPENSATION PLAN </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utilize any or all of the authorizations, and will be subject to all of the requirements, contained in the following provisions: </w:t>
      </w:r>
    </w:p>
    <w:p>
      <w:pPr>
        <w:pStyle w:val="TextBody"/>
        <w:bidi w:val="0"/>
        <w:spacing w:lineRule="auto" w:line="288" w:before="120" w:after="120"/>
        <w:ind w:left="0" w:right="0" w:firstLine="4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(a) Each such grant or sale will constitute the agreement by the Company to deliver Common Stock or cash, or a combination thereof, to the Participant in the future in consideration of the performance of services, but subject to the fulfillment of such conditions (which may include achievement regarding Management Objectives) during the Restriction Period as the Committee may specify. </w:t>
      </w:r>
    </w:p>
    <w:p>
      <w:pPr>
        <w:pStyle w:val="TextBody"/>
        <w:bidi w:val="0"/>
        <w:spacing w:lineRule="auto" w:line="288" w:before="120" w:after="120"/>
        <w:ind w:left="0" w:right="0" w:firstLine="4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(b) Each such grant or sale may be made without additional consideration or in consideration of a payment by such Participant that is less than the Market Value per Share on the Date of Grant. </w:t>
      </w:r>
    </w:p>
    <w:p>
      <w:pPr>
        <w:pStyle w:val="TextBody"/>
        <w:bidi w:val="0"/>
        <w:spacing w:lineRule="auto" w:line="288" w:before="120" w:after="120"/>
        <w:ind w:left="0" w:right="0" w:firstLine="4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(c) Notwithstanding anything to the contrary contained in this Plan, Restricted Stock Units may provide for continued vesting or the earlier lapse or other modification of the Restriction Period, including in the event of the retirement, death, disability or termination of employment or service of a Participant or in the event of a Change in Control. </w:t>
      </w:r>
    </w:p>
    <w:p>
      <w:pPr>
        <w:pStyle w:val="TextBody"/>
        <w:bidi w:val="0"/>
        <w:spacing w:lineRule="auto" w:line="288" w:before="120" w:after="120"/>
        <w:ind w:left="0" w:right="0" w:firstLine="400"/>
        <w:jc w:val="both"/>
        <w:rPr>
          <w:shd w:fill="FFFFFF" w:val="clear"/>
        </w:rPr>
      </w:pPr>
      <w:r>
        <w:rPr>
          <w:rFonts w:ascii="Times New Roman;serif" w:hAnsi="Times New Roman;serif"/>
          <w:b w:val="false"/>
          <w:color w:val="000000"/>
          <w:sz w:val="20"/>
          <w:shd w:fill="FFFFFF" w:val="clear"/>
        </w:rPr>
        <w:t xml:space="preserve">(d) During the Restriction Period, the Participant will have no right to transfer any rights under his or her award and will have no rights of ownership in the Common Stock deliverable upon payment of the Restricted Stock Units and will have no right to vote them, but the Committee may, at or after the Date of Grant, authorize the payment of dividend equivalents on such Restricted Stock Units on a deferred and contingent basis, either in cash or in additional shares of Common Stock; </w:t>
      </w:r>
      <w:r>
        <w:rPr>
          <w:rFonts w:ascii="Times New Roman;serif" w:hAnsi="Times New Roman;serif"/>
          <w:b w:val="false"/>
          <w:color w:val="000000"/>
          <w:sz w:val="20"/>
          <w:u w:val="single"/>
          <w:shd w:fill="FFFFFF" w:val="clear"/>
        </w:rPr>
        <w:t>provided</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u w:val="single"/>
          <w:shd w:fill="FFFFFF" w:val="clear"/>
        </w:rPr>
        <w:t>however</w:t>
      </w:r>
      <w:r>
        <w:rPr>
          <w:rFonts w:ascii="Times New Roman;serif" w:hAnsi="Times New Roman;serif"/>
          <w:b w:val="false"/>
          <w:color w:val="000000"/>
          <w:sz w:val="20"/>
          <w:shd w:fill="FFFFFF" w:val="clear"/>
        </w:rPr>
        <w:t xml:space="preserve">, that dividend equivalents or other distributions on Common Stock underlying Restricted Stock Units shall be deferred until and paid contingent upon the vesting of such Restricted Stock Units. </w:t>
      </w:r>
    </w:p>
    <w:p>
      <w:pPr>
        <w:pStyle w:val="TextBody"/>
        <w:bidi w:val="0"/>
        <w:spacing w:lineRule="auto" w:line="288" w:before="120" w:after="120"/>
        <w:ind w:left="0" w:right="0" w:firstLine="4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(e) Each grant or sale of Restricted Stock Units will specify the time and manner of payment of the Restricted Stock Units that have been earned. Each grant or sale will specify that the amount payable with respect thereto will be paid by the Company in Common Stock or cash, or a combination thereof. </w:t>
      </w:r>
    </w:p>
    <w:p>
      <w:pPr>
        <w:pStyle w:val="TextBody"/>
        <w:bidi w:val="0"/>
        <w:spacing w:lineRule="auto" w:line="288" w:before="120" w:after="120"/>
        <w:ind w:left="0" w:right="0" w:firstLine="4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(f) Each grant or sale of Restricted Stock Units will be evidenced by an Evidence of Award. Each Evidence of Award will be subject to this Plan and will contain such terms and provisions, consistent with this Plan, as the Committee may approve. </w:t>
      </w:r>
    </w:p>
    <w:p>
      <w:pPr>
        <w:pStyle w:val="TextBody"/>
        <w:bidi w:val="0"/>
        <w:spacing w:lineRule="auto" w:line="288" w:before="120" w:after="120"/>
        <w:ind w:left="0" w:right="0" w:firstLine="400"/>
        <w:jc w:val="both"/>
        <w:rPr>
          <w:shd w:fill="FFFFFF" w:val="clear"/>
        </w:rPr>
      </w:pPr>
      <w:r>
        <w:rPr>
          <w:rFonts w:ascii="Times New Roman;serif" w:hAnsi="Times New Roman;serif"/>
          <w:b w:val="false"/>
          <w:color w:val="000000"/>
          <w:sz w:val="20"/>
          <w:shd w:fill="FFFFFF" w:val="clear"/>
        </w:rPr>
        <w:t>8. </w:t>
      </w:r>
      <w:r>
        <w:rPr>
          <w:rFonts w:ascii="Times New Roman;serif" w:hAnsi="Times New Roman;serif"/>
          <w:b/>
          <w:color w:val="000000"/>
          <w:sz w:val="20"/>
          <w:shd w:fill="FFFFFF" w:val="clear"/>
        </w:rPr>
        <w:t>Cash Incentive Awards, Performance Shares and Performance Units.</w:t>
      </w:r>
      <w:r>
        <w:rPr>
          <w:color w:val="000000"/>
          <w:shd w:fill="FFFFFF" w:val="clear"/>
        </w:rPr>
        <w:t xml:space="preserve"> </w:t>
      </w:r>
      <w:r>
        <w:rPr>
          <w:rFonts w:ascii="Times New Roman;serif" w:hAnsi="Times New Roman;serif"/>
          <w:b w:val="false"/>
          <w:color w:val="000000"/>
          <w:sz w:val="20"/>
          <w:shd w:fill="FFFFFF" w:val="clear"/>
        </w:rPr>
        <w:t xml:space="preserve">The Committee may, from time to time and upon such terms and conditions as it may determine, authorize the granting of Cash Incentive Awards, Performance Shares and Performance Units. Each such grant may utilize any or all of the authorizations, and will be subject to all of the requirements, contained in the following provisions: </w:t>
      </w:r>
    </w:p>
    <w:p>
      <w:pPr>
        <w:pStyle w:val="TextBody"/>
        <w:bidi w:val="0"/>
        <w:spacing w:lineRule="auto" w:line="288" w:before="120" w:after="120"/>
        <w:ind w:left="0" w:right="0" w:firstLine="4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(a) Each grant will specify the number or amount of Performance Shares or Performance Units, or cash amount payable with respect to a Cash Incentive Award, to which it pertains, which number or amount may be subject to adjustment to reflect changes in compensation or other factors. </w:t>
      </w:r>
    </w:p>
    <w:p>
      <w:pPr>
        <w:pStyle w:val="TextBody"/>
        <w:bidi w:val="0"/>
        <w:spacing w:lineRule="auto" w:line="288" w:before="120" w:after="120"/>
        <w:ind w:left="0" w:right="0" w:firstLine="4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(b) The Performance Period with respect to each Cash Incentive Award or grant of Performance Shares or Performance Units will be such period of time as will be determined by the Committee, which may be subject to continued vesting or earlier lapse or other modification, including in the event of the retirement, death, disability or termination of employment or service of a Participant or in the event of a Change in Control. </w:t>
      </w:r>
    </w:p>
    <w:p>
      <w:pPr>
        <w:pStyle w:val="TextBody"/>
        <w:bidi w:val="0"/>
        <w:spacing w:lineRule="auto" w:line="288" w:before="120" w:after="120"/>
        <w:ind w:left="0" w:right="0" w:firstLine="4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(c) Each grant of a Cash Incentive Award, Performance Shares or Performance Units will specify Management Objectives regarding the earning of the award. </w:t>
      </w:r>
    </w:p>
    <w:p>
      <w:pPr>
        <w:pStyle w:val="TextBody"/>
        <w:bidi w:val="0"/>
        <w:spacing w:lineRule="auto" w:line="288" w:before="120" w:after="120"/>
        <w:ind w:left="0" w:right="0" w:firstLine="4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(d) Each grant will specify the time and manner of payment of a Cash Incentive Award, Performance Shares or Performance Units that have been earned. Any grant may specify that the amount payable with respect thereto may be paid by the Company in cash, in Common Stock, in Restricted Stock or Restricted Stock Units or in any combination thereof. </w:t>
      </w:r>
    </w:p>
    <w:p>
      <w:pPr>
        <w:pStyle w:val="TextBody"/>
        <w:bidi w:val="0"/>
        <w:spacing w:lineRule="auto" w:line="288" w:before="120" w:after="120"/>
        <w:ind w:left="0" w:right="0" w:firstLine="4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(e) The Committee may, on the Date of Grant of Performance Shares or Performance Units, provide for the payment of dividend equivalents to the holder thereof either in cash or in additional shares of Common Stock, which dividend equivalents shall be subject to deferral and payment on a contingent basis based on the Participant’s earning and vesting of the Performance Shares or Performance Units, as applicable, with respect to which such dividend equivalents are paid. </w:t>
      </w:r>
    </w:p>
    <w:p>
      <w:pPr>
        <w:pStyle w:val="TextBody"/>
        <w:bidi w:val="0"/>
        <w:spacing w:lineRule="auto" w:line="26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INNVENTURE, INC. </w:t>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685"/>
                <wp:effectExtent l="0" t="0" r="0" b="0"/>
                <wp:wrapNone/>
                <wp:docPr id="147" name="Frame1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79.0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2024 EQUITY AND INCENTIVE COMPENSATION PLAN </w:t>
      </w:r>
    </w:p>
    <w:p>
      <w:pPr>
        <w:pStyle w:val="TextBody"/>
        <w:bidi w:val="0"/>
        <w:spacing w:lineRule="auto" w:line="288" w:before="120" w:after="120"/>
        <w:ind w:left="0" w:right="0" w:firstLine="4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(f) Each grant of a Cash Incentive Award, Performance Shares or Performance Units will be evidenced by an Evidence of Award. Each Evidence of Award will be subject to this Plan and will contain such terms and provisions, consistent with this Plan, as the Committee may approve. </w:t>
      </w:r>
    </w:p>
    <w:p>
      <w:pPr>
        <w:pStyle w:val="TextBody"/>
        <w:bidi w:val="0"/>
        <w:spacing w:lineRule="auto" w:line="288" w:before="120" w:after="120"/>
        <w:ind w:left="0" w:right="0" w:firstLine="400"/>
        <w:jc w:val="left"/>
        <w:rPr>
          <w:shd w:fill="FFFFFF" w:val="clear"/>
        </w:rPr>
      </w:pPr>
      <w:r>
        <w:rPr>
          <w:rFonts w:ascii="Times New Roman;serif" w:hAnsi="Times New Roman;serif"/>
          <w:b w:val="false"/>
          <w:color w:val="000000"/>
          <w:sz w:val="20"/>
          <w:shd w:fill="FFFFFF" w:val="clear"/>
        </w:rPr>
        <w:t>9. </w:t>
      </w:r>
      <w:r>
        <w:rPr>
          <w:rFonts w:ascii="Times New Roman;serif" w:hAnsi="Times New Roman;serif"/>
          <w:b/>
          <w:color w:val="000000"/>
          <w:sz w:val="20"/>
          <w:shd w:fill="FFFFFF" w:val="clear"/>
        </w:rPr>
        <w:t>Other Awards.</w:t>
      </w:r>
      <w:r>
        <w:rPr>
          <w:color w:val="000000"/>
          <w:shd w:fill="FFFFFF" w:val="clear"/>
        </w:rPr>
        <w:t> </w:t>
      </w:r>
    </w:p>
    <w:p>
      <w:pPr>
        <w:pStyle w:val="TextBody"/>
        <w:bidi w:val="0"/>
        <w:spacing w:lineRule="auto" w:line="288" w:before="120" w:after="120"/>
        <w:ind w:left="0" w:right="0" w:firstLine="400"/>
        <w:jc w:val="both"/>
        <w:rPr>
          <w:shd w:fill="FFFFFF" w:val="clear"/>
        </w:rPr>
      </w:pPr>
      <w:r>
        <w:rPr>
          <w:rFonts w:ascii="Times New Roman;serif" w:hAnsi="Times New Roman;serif"/>
          <w:b w:val="false"/>
          <w:color w:val="000000"/>
          <w:sz w:val="20"/>
          <w:shd w:fill="FFFFFF" w:val="clear"/>
        </w:rPr>
        <w:t xml:space="preserve">(a) Subject to applicable law and the applicable limits set forth in </w:t>
      </w:r>
      <w:r>
        <w:rPr>
          <w:rFonts w:ascii="Times New Roman;serif" w:hAnsi="Times New Roman;serif"/>
          <w:b/>
          <w:color w:val="000000"/>
          <w:sz w:val="20"/>
          <w:u w:val="single"/>
          <w:shd w:fill="FFFFFF" w:val="clear"/>
        </w:rPr>
        <w:t>Section 3</w:t>
      </w:r>
      <w:r>
        <w:rPr>
          <w:color w:val="000000"/>
          <w:shd w:fill="FFFFFF" w:val="clear"/>
        </w:rPr>
        <w:t xml:space="preserve"> </w:t>
      </w:r>
      <w:r>
        <w:rPr>
          <w:rFonts w:ascii="Times New Roman;serif" w:hAnsi="Times New Roman;serif"/>
          <w:b w:val="false"/>
          <w:color w:val="000000"/>
          <w:sz w:val="20"/>
          <w:shd w:fill="FFFFFF" w:val="clear"/>
        </w:rPr>
        <w:t xml:space="preserve">of this Plan, the Committee may authorize the grant to any Participant of Common Stock or such other awards that may be denominated or payable in, valued in whole or in part by reference to, or otherwise based on, or related to, shares of Common Stock or factors that may influence the value of such shares, including, without limitation, convertible or exchangeable debt securities, other rights convertible or exchangeable into shares of Common Stock, purchase rights for shares of Common Stock, awards with value and payment contingent upon performance of the Company or specified Subsidiaries, affiliates or other business units thereof or any other factors designated by the Committee, and awards valued by reference to the book value of the shares of Common Stock or the value of securities of, or the performance of specified Subsidiaries or affiliates or other business units of the Company. The Committee will determine the terms and conditions of such awards. Common Stock delivered pursuant to an award in the nature of a purchase right granted under this </w:t>
      </w:r>
      <w:r>
        <w:rPr>
          <w:rFonts w:ascii="Times New Roman;serif" w:hAnsi="Times New Roman;serif"/>
          <w:b/>
          <w:color w:val="000000"/>
          <w:sz w:val="20"/>
          <w:u w:val="single"/>
          <w:shd w:fill="FFFFFF" w:val="clear"/>
        </w:rPr>
        <w:t>Section 9</w:t>
      </w:r>
      <w:r>
        <w:rPr>
          <w:color w:val="000000"/>
          <w:shd w:fill="FFFFFF" w:val="clear"/>
        </w:rPr>
        <w:t xml:space="preserve"> </w:t>
      </w:r>
      <w:r>
        <w:rPr>
          <w:rFonts w:ascii="Times New Roman;serif" w:hAnsi="Times New Roman;serif"/>
          <w:b w:val="false"/>
          <w:color w:val="000000"/>
          <w:sz w:val="20"/>
          <w:shd w:fill="FFFFFF" w:val="clear"/>
        </w:rPr>
        <w:t xml:space="preserve">will be purchased for such consideration, paid for at such time, by such methods, and in such forms, including, without limitation, Common Stock, other awards, cash, notes or other property, as the Committee determines. </w:t>
      </w:r>
    </w:p>
    <w:p>
      <w:pPr>
        <w:pStyle w:val="TextBody"/>
        <w:bidi w:val="0"/>
        <w:spacing w:lineRule="auto" w:line="288" w:before="120" w:after="120"/>
        <w:ind w:left="0" w:right="0" w:firstLine="400"/>
        <w:jc w:val="both"/>
        <w:rPr>
          <w:shd w:fill="FFFFFF" w:val="clear"/>
        </w:rPr>
      </w:pPr>
      <w:r>
        <w:rPr>
          <w:rFonts w:ascii="Times New Roman;serif" w:hAnsi="Times New Roman;serif"/>
          <w:b w:val="false"/>
          <w:color w:val="000000"/>
          <w:sz w:val="20"/>
          <w:shd w:fill="FFFFFF" w:val="clear"/>
        </w:rPr>
        <w:t xml:space="preserve">(b) Cash awards, as an element of or supplement to any other award granted under this Plan, may also be granted pursuant to this </w:t>
      </w:r>
      <w:r>
        <w:rPr>
          <w:rFonts w:ascii="Times New Roman;serif" w:hAnsi="Times New Roman;serif"/>
          <w:b/>
          <w:color w:val="000000"/>
          <w:sz w:val="20"/>
          <w:u w:val="single"/>
          <w:shd w:fill="FFFFFF" w:val="clear"/>
        </w:rPr>
        <w:t>Section 9</w:t>
      </w:r>
      <w:r>
        <w:rPr>
          <w:rFonts w:ascii="Times New Roman;serif" w:hAnsi="Times New Roman;serif"/>
          <w:b w:val="false"/>
          <w:color w:val="000000"/>
          <w:sz w:val="20"/>
          <w:shd w:fill="FFFFFF" w:val="clear"/>
        </w:rPr>
        <w:t xml:space="preserve">. </w:t>
      </w:r>
    </w:p>
    <w:p>
      <w:pPr>
        <w:pStyle w:val="TextBody"/>
        <w:bidi w:val="0"/>
        <w:spacing w:lineRule="auto" w:line="288" w:before="120" w:after="120"/>
        <w:ind w:left="0" w:right="0" w:firstLine="4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(c) The Committee may authorize the grant of shares of Common Stock as a bonus, or may authorize the grant of other awards in lieu of obligations of the Company or a Subsidiary to pay cash or deliver other property under this Plan or under other plans or compensatory arrangements, subject to such terms as will be determined by the Committee in a manner that complies with Section 409A of the Code. </w:t>
      </w:r>
    </w:p>
    <w:p>
      <w:pPr>
        <w:pStyle w:val="TextBody"/>
        <w:bidi w:val="0"/>
        <w:spacing w:lineRule="auto" w:line="288" w:before="120" w:after="120"/>
        <w:ind w:left="0" w:right="0" w:firstLine="400"/>
        <w:jc w:val="both"/>
        <w:rPr>
          <w:shd w:fill="FFFFFF" w:val="clear"/>
        </w:rPr>
      </w:pPr>
      <w:r>
        <w:rPr>
          <w:rFonts w:ascii="Times New Roman;serif" w:hAnsi="Times New Roman;serif"/>
          <w:b w:val="false"/>
          <w:color w:val="000000"/>
          <w:sz w:val="20"/>
          <w:shd w:fill="FFFFFF" w:val="clear"/>
        </w:rPr>
        <w:t xml:space="preserve">(d) The Committee may, at or after the Date of Grant, authorize the payment of dividends or dividend equivalents on awards granted under this </w:t>
      </w:r>
      <w:r>
        <w:rPr>
          <w:rFonts w:ascii="Times New Roman;serif" w:hAnsi="Times New Roman;serif"/>
          <w:b/>
          <w:color w:val="000000"/>
          <w:sz w:val="20"/>
          <w:u w:val="single"/>
          <w:shd w:fill="FFFFFF" w:val="clear"/>
        </w:rPr>
        <w:t>Section 9</w:t>
      </w:r>
      <w:r>
        <w:rPr>
          <w:color w:val="000000"/>
          <w:shd w:fill="FFFFFF" w:val="clear"/>
        </w:rPr>
        <w:t xml:space="preserve"> </w:t>
      </w:r>
      <w:r>
        <w:rPr>
          <w:rFonts w:ascii="Times New Roman;serif" w:hAnsi="Times New Roman;serif"/>
          <w:b w:val="false"/>
          <w:color w:val="000000"/>
          <w:sz w:val="20"/>
          <w:shd w:fill="FFFFFF" w:val="clear"/>
        </w:rPr>
        <w:t xml:space="preserve">on a deferred and contingent basis, either in cash or in additional shares of Common Stock; </w:t>
      </w:r>
      <w:r>
        <w:rPr>
          <w:rFonts w:ascii="Times New Roman;serif" w:hAnsi="Times New Roman;serif"/>
          <w:b w:val="false"/>
          <w:color w:val="000000"/>
          <w:sz w:val="20"/>
          <w:u w:val="single"/>
          <w:shd w:fill="FFFFFF" w:val="clear"/>
        </w:rPr>
        <w:t>provided</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u w:val="single"/>
          <w:shd w:fill="FFFFFF" w:val="clear"/>
        </w:rPr>
        <w:t>however</w:t>
      </w:r>
      <w:r>
        <w:rPr>
          <w:rFonts w:ascii="Times New Roman;serif" w:hAnsi="Times New Roman;serif"/>
          <w:b w:val="false"/>
          <w:color w:val="000000"/>
          <w:sz w:val="20"/>
          <w:shd w:fill="FFFFFF" w:val="clear"/>
        </w:rPr>
        <w:t xml:space="preserve">, that dividend equivalents or other distributions on Common Stock underlying awards granted under this </w:t>
      </w:r>
      <w:r>
        <w:rPr>
          <w:rFonts w:ascii="Times New Roman;serif" w:hAnsi="Times New Roman;serif"/>
          <w:b/>
          <w:color w:val="000000"/>
          <w:sz w:val="20"/>
          <w:u w:val="single"/>
          <w:shd w:fill="FFFFFF" w:val="clear"/>
        </w:rPr>
        <w:t>Section 9</w:t>
      </w:r>
      <w:r>
        <w:rPr>
          <w:color w:val="000000"/>
          <w:shd w:fill="FFFFFF" w:val="clear"/>
        </w:rPr>
        <w:t xml:space="preserve"> </w:t>
      </w:r>
      <w:r>
        <w:rPr>
          <w:rFonts w:ascii="Times New Roman;serif" w:hAnsi="Times New Roman;serif"/>
          <w:b w:val="false"/>
          <w:color w:val="000000"/>
          <w:sz w:val="20"/>
          <w:shd w:fill="FFFFFF" w:val="clear"/>
        </w:rPr>
        <w:t xml:space="preserve">shall be deferred until and paid contingent upon the earning and vesting of such awards. </w:t>
      </w:r>
    </w:p>
    <w:p>
      <w:pPr>
        <w:pStyle w:val="TextBody"/>
        <w:bidi w:val="0"/>
        <w:spacing w:lineRule="auto" w:line="288" w:before="120" w:after="120"/>
        <w:ind w:left="0" w:right="0" w:firstLine="400"/>
        <w:jc w:val="both"/>
        <w:rPr>
          <w:shd w:fill="FFFFFF" w:val="clear"/>
        </w:rPr>
      </w:pPr>
      <w:r>
        <w:rPr>
          <w:rFonts w:ascii="Times New Roman;serif" w:hAnsi="Times New Roman;serif"/>
          <w:b w:val="false"/>
          <w:color w:val="000000"/>
          <w:sz w:val="20"/>
          <w:shd w:fill="FFFFFF" w:val="clear"/>
        </w:rPr>
        <w:t xml:space="preserve">(e) Each grant of an award under this </w:t>
      </w:r>
      <w:r>
        <w:rPr>
          <w:rFonts w:ascii="Times New Roman;serif" w:hAnsi="Times New Roman;serif"/>
          <w:b/>
          <w:color w:val="000000"/>
          <w:sz w:val="20"/>
          <w:u w:val="single"/>
          <w:shd w:fill="FFFFFF" w:val="clear"/>
        </w:rPr>
        <w:t>Section 9</w:t>
      </w:r>
      <w:r>
        <w:rPr>
          <w:color w:val="000000"/>
          <w:shd w:fill="FFFFFF" w:val="clear"/>
        </w:rPr>
        <w:t xml:space="preserve"> </w:t>
      </w:r>
      <w:r>
        <w:rPr>
          <w:rFonts w:ascii="Times New Roman;serif" w:hAnsi="Times New Roman;serif"/>
          <w:b w:val="false"/>
          <w:color w:val="000000"/>
          <w:sz w:val="20"/>
          <w:shd w:fill="FFFFFF" w:val="clear"/>
        </w:rPr>
        <w:t xml:space="preserve">will be evidenced by an Evidence of Award. Each such Evidence of Award will be subject to this Plan and will contain such terms and provisions, consistent with this Plan, as the Committee may approve, and will specify the time and terms of delivery of the applicable award. </w:t>
      </w:r>
    </w:p>
    <w:p>
      <w:pPr>
        <w:pStyle w:val="TextBody"/>
        <w:bidi w:val="0"/>
        <w:spacing w:lineRule="auto" w:line="288" w:before="120" w:after="120"/>
        <w:ind w:left="0" w:right="0" w:firstLine="400"/>
        <w:jc w:val="both"/>
        <w:rPr>
          <w:shd w:fill="FFFFFF" w:val="clear"/>
        </w:rPr>
      </w:pPr>
      <w:r>
        <w:rPr>
          <w:rFonts w:ascii="Times New Roman;serif" w:hAnsi="Times New Roman;serif"/>
          <w:b w:val="false"/>
          <w:color w:val="000000"/>
          <w:sz w:val="20"/>
          <w:shd w:fill="FFFFFF" w:val="clear"/>
        </w:rPr>
        <w:t xml:space="preserve">(f) Notwithstanding anything to the contrary contained in this Plan, awards under this </w:t>
      </w:r>
      <w:r>
        <w:rPr>
          <w:rFonts w:ascii="Times New Roman;serif" w:hAnsi="Times New Roman;serif"/>
          <w:b/>
          <w:color w:val="000000"/>
          <w:sz w:val="20"/>
          <w:u w:val="single"/>
          <w:shd w:fill="FFFFFF" w:val="clear"/>
        </w:rPr>
        <w:t>Section 9</w:t>
      </w:r>
      <w:r>
        <w:rPr>
          <w:color w:val="000000"/>
          <w:shd w:fill="FFFFFF" w:val="clear"/>
        </w:rPr>
        <w:t xml:space="preserve"> </w:t>
      </w:r>
      <w:r>
        <w:rPr>
          <w:rFonts w:ascii="Times New Roman;serif" w:hAnsi="Times New Roman;serif"/>
          <w:b w:val="false"/>
          <w:color w:val="000000"/>
          <w:sz w:val="20"/>
          <w:shd w:fill="FFFFFF" w:val="clear"/>
        </w:rPr>
        <w:t xml:space="preserve">may provide for the earning or vesting of, or earlier elimination of restrictions applicable to, such award upon certain events, including in the event of the retirement, death, disability or termination of employment or service of a Participant or in the event of a Change in Control. </w:t>
      </w:r>
    </w:p>
    <w:p>
      <w:pPr>
        <w:pStyle w:val="TextBody"/>
        <w:bidi w:val="0"/>
        <w:spacing w:lineRule="auto" w:line="288" w:before="120" w:after="120"/>
        <w:ind w:left="0" w:right="0" w:firstLine="400"/>
        <w:jc w:val="left"/>
        <w:rPr>
          <w:shd w:fill="FFFFFF" w:val="clear"/>
        </w:rPr>
      </w:pPr>
      <w:r>
        <w:rPr>
          <w:rFonts w:ascii="Times New Roman;serif" w:hAnsi="Times New Roman;serif"/>
          <w:b w:val="false"/>
          <w:color w:val="000000"/>
          <w:sz w:val="20"/>
          <w:shd w:fill="FFFFFF" w:val="clear"/>
        </w:rPr>
        <w:t>10. </w:t>
      </w:r>
      <w:r>
        <w:rPr>
          <w:rFonts w:ascii="Times New Roman;serif" w:hAnsi="Times New Roman;serif"/>
          <w:b/>
          <w:color w:val="000000"/>
          <w:sz w:val="20"/>
          <w:shd w:fill="FFFFFF" w:val="clear"/>
        </w:rPr>
        <w:t>Administration of this Plan.</w:t>
      </w:r>
      <w:r>
        <w:rPr>
          <w:color w:val="000000"/>
          <w:shd w:fill="FFFFFF" w:val="clear"/>
        </w:rPr>
        <w:t> </w:t>
      </w:r>
    </w:p>
    <w:p>
      <w:pPr>
        <w:pStyle w:val="TextBody"/>
        <w:bidi w:val="0"/>
        <w:spacing w:lineRule="auto" w:line="288" w:before="120" w:after="120"/>
        <w:ind w:left="0" w:right="0" w:firstLine="4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(a) This Plan will be administered by the Committee; provided, that, at the discretion of the Board, this Plan may be administered by the Board, including with respect to the administration of any responsibilities and duties held by the Committee hereunder. The Committee may from time to time delegate all or any part of its authority under this Plan to a subcommittee thereof. To the extent of any such delegation, references in this Plan to the Committee will be deemed to be references to such subcommittee. </w:t>
      </w:r>
    </w:p>
    <w:p>
      <w:pPr>
        <w:pStyle w:val="TextBody"/>
        <w:bidi w:val="0"/>
        <w:spacing w:lineRule="auto" w:line="288" w:before="120" w:after="120"/>
        <w:ind w:left="0" w:right="0" w:firstLine="4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(b) The interpretation and construction by the Committee of any provision of this Plan or of any Evidence of Award (or related documents) and any determination by the Committee pursuant to any provision of this Plan or of any such agreement, notification or document will be final and conclusive. No member of the Committee shall be liable for any such action or determination made in good faith. In addition, the Committee is authorized to take any action it determines in its sole discretion to be appropriate subject only to the express limitations contained in this Plan, and no authorization in any Plan section or other provision of this Plan is intended or may be deemed to constitute a limitation on the authority of the Committee. </w:t>
      </w:r>
    </w:p>
    <w:p>
      <w:pPr>
        <w:pStyle w:val="TextBody"/>
        <w:bidi w:val="0"/>
        <w:spacing w:lineRule="auto" w:line="288" w:before="120" w:after="120"/>
        <w:ind w:left="0" w:right="0" w:firstLine="4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(c) To the extent permitted by law, the Committee may delegate to one or more of its members, to one or more officers of the Company, or to one or more agents or advisors, such administrative duties or powers as it may </w:t>
      </w:r>
    </w:p>
    <w:p>
      <w:pPr>
        <w:pStyle w:val="TextBody"/>
        <w:bidi w:val="0"/>
        <w:spacing w:lineRule="auto" w:line="26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INNVENTURE, INC. </w:t>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685"/>
                <wp:effectExtent l="0" t="0" r="0" b="0"/>
                <wp:wrapNone/>
                <wp:docPr id="148" name="Frame1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79.0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2024 EQUITY AND INCENTIVE COMPENSATION PLAN </w:t>
      </w:r>
    </w:p>
    <w:p>
      <w:pPr>
        <w:pStyle w:val="TextBody"/>
        <w:bidi w:val="0"/>
        <w:spacing w:lineRule="auto" w:line="288" w:before="120" w:after="120"/>
        <w:jc w:val="both"/>
        <w:rPr>
          <w:shd w:fill="FFFFFF" w:val="clear"/>
        </w:rPr>
      </w:pPr>
      <w:r>
        <w:rPr>
          <w:rFonts w:ascii="Times New Roman;serif" w:hAnsi="Times New Roman;serif"/>
          <w:b w:val="false"/>
          <w:color w:val="000000"/>
          <w:sz w:val="20"/>
          <w:shd w:fill="FFFFFF" w:val="clear"/>
        </w:rPr>
        <w:t xml:space="preserve">deem advisable, and the Committee, the subcommittee, or any person to whom duties or powers have been delegated as aforesaid, may employ one or more persons to render advice with respect to any responsibility the Committee, the subcommittee or such person may have under this Plan. The Committee or the subcommittee may, by resolution, authorize one or more officers of the Company to do one or both of the following on the same basis as the Committee or the subcommittee: (i) designate employees to be recipients of awards under this Plan and (ii) determine the size of any such awards; </w:t>
      </w:r>
      <w:r>
        <w:rPr>
          <w:rFonts w:ascii="Times New Roman;serif" w:hAnsi="Times New Roman;serif"/>
          <w:b w:val="false"/>
          <w:color w:val="000000"/>
          <w:sz w:val="20"/>
          <w:u w:val="single"/>
          <w:shd w:fill="FFFFFF" w:val="clear"/>
        </w:rPr>
        <w:t>provided</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u w:val="single"/>
          <w:shd w:fill="FFFFFF" w:val="clear"/>
        </w:rPr>
        <w:t>however</w:t>
      </w:r>
      <w:r>
        <w:rPr>
          <w:rFonts w:ascii="Times New Roman;serif" w:hAnsi="Times New Roman;serif"/>
          <w:b w:val="false"/>
          <w:color w:val="000000"/>
          <w:sz w:val="20"/>
          <w:shd w:fill="FFFFFF" w:val="clear"/>
        </w:rPr>
        <w:t xml:space="preserve">, that (A) the Committee will not delegate such responsibilities to any such officer for awards granted to an employee who is an officer (for purposes of Section 16 of the Exchange Act), Director, or more than 10% “beneficial owner” (as such term is defined in Rule 13d-3 promulgated under the Exchange Act) of any class of the Company’s equity securities that is registered pursuant to Section 12 of the Exchange Act, as determined by the Committee in accordance with Section 16 of the Exchange Act; (B) the resolution providing for such authorization shall set forth the total number of shares of Common Stock such officer(s) may grant and such terms as required by applicable law; and (C) the officer(s) will report periodically to the Committee regarding the nature and scope of the awards granted pursuant to the authority delegated. </w:t>
      </w:r>
    </w:p>
    <w:p>
      <w:pPr>
        <w:pStyle w:val="TextBody"/>
        <w:bidi w:val="0"/>
        <w:spacing w:lineRule="auto" w:line="288" w:before="120" w:after="120"/>
        <w:ind w:left="0" w:right="0" w:firstLine="400"/>
        <w:jc w:val="both"/>
        <w:rPr>
          <w:shd w:fill="FFFFFF" w:val="clear"/>
        </w:rPr>
      </w:pPr>
      <w:r>
        <w:rPr>
          <w:rFonts w:ascii="Times New Roman;serif" w:hAnsi="Times New Roman;serif"/>
          <w:b w:val="false"/>
          <w:color w:val="000000"/>
          <w:sz w:val="20"/>
          <w:shd w:fill="FFFFFF" w:val="clear"/>
        </w:rPr>
        <w:t>11. </w:t>
      </w:r>
      <w:r>
        <w:rPr>
          <w:rFonts w:ascii="Times New Roman;serif" w:hAnsi="Times New Roman;serif"/>
          <w:b/>
          <w:color w:val="000000"/>
          <w:sz w:val="20"/>
          <w:shd w:fill="FFFFFF" w:val="clear"/>
        </w:rPr>
        <w:t>Adjustments.</w:t>
      </w:r>
      <w:r>
        <w:rPr>
          <w:color w:val="000000"/>
          <w:shd w:fill="FFFFFF" w:val="clear"/>
        </w:rPr>
        <w:t xml:space="preserve"> </w:t>
      </w:r>
      <w:r>
        <w:rPr>
          <w:rFonts w:ascii="Times New Roman;serif" w:hAnsi="Times New Roman;serif"/>
          <w:b w:val="false"/>
          <w:color w:val="000000"/>
          <w:sz w:val="20"/>
          <w:shd w:fill="FFFFFF" w:val="clear"/>
        </w:rPr>
        <w:t xml:space="preserve">The Committee shall make or provide for such adjustments in the number of and kind of shares of Common Stock covered by outstanding Option Rights, Appreciation Rights, Restricted Stock, Restricted Stock Units, Performance Shares and Performance Units granted hereunder and, if applicable, in the number of and kind of shares of Common Stock covered by other awards granted pursuant to </w:t>
      </w:r>
      <w:r>
        <w:rPr>
          <w:rFonts w:ascii="Times New Roman;serif" w:hAnsi="Times New Roman;serif"/>
          <w:b/>
          <w:color w:val="000000"/>
          <w:sz w:val="20"/>
          <w:u w:val="single"/>
          <w:shd w:fill="FFFFFF" w:val="clear"/>
        </w:rPr>
        <w:t>Section 9</w:t>
      </w:r>
      <w:r>
        <w:rPr>
          <w:color w:val="000000"/>
          <w:shd w:fill="FFFFFF" w:val="clear"/>
        </w:rPr>
        <w:t xml:space="preserve"> </w:t>
      </w:r>
      <w:r>
        <w:rPr>
          <w:rFonts w:ascii="Times New Roman;serif" w:hAnsi="Times New Roman;serif"/>
          <w:b w:val="false"/>
          <w:color w:val="000000"/>
          <w:sz w:val="20"/>
          <w:shd w:fill="FFFFFF" w:val="clear"/>
        </w:rPr>
        <w:t>of this Plan, in the Option Price and Base Price provided in outstanding Option Rights and Appreciation Rights, respectively, in Cash Incentive Awards, and in other award terms, as the Committee, in its sole discretion, determines, in good faith, is equitably required to prevent dilution or enlargement of the rights of Participants that otherwise would result from (a) any extraordinary cash dividend, stock dividend, stock split, combination of shares, recapitalization or other change in the capital structure of the Company, (b) any merger, consolidation, spin-off, split-off, spin-out, split-up, reorganization, partial or complete liquidation or other distribution of assets, issuance of rights or warrants to purchase securities, or (c) any other corporate transaction or event having an effect similar to any of the foregoing. Moreover, in the event of any such transaction or event or in the event of a Change in Control, the Committee may provide in substitution for any or all outstanding awards under this Plan such alternative consideration (including cash), if any, as it, in good faith, may determine to be equitable in the circumstances and shall</w:t>
      </w:r>
      <w:r>
        <w:rPr>
          <w:color w:val="000000"/>
          <w:shd w:fill="FFFFFF" w:val="clear"/>
        </w:rPr>
        <w:t> </w:t>
      </w:r>
      <w:r>
        <w:rPr>
          <w:rFonts w:ascii="Times New Roman;serif" w:hAnsi="Times New Roman;serif"/>
          <w:b w:val="false"/>
          <w:color w:val="000000"/>
          <w:sz w:val="20"/>
          <w:shd w:fill="FFFFFF" w:val="clear"/>
        </w:rPr>
        <w:t xml:space="preserve">require in connection therewith the surrender of all awards so replaced in a manner that complies with Section 409A of the Code. In addition, for each Option Right or Appreciation Right with an Option Price or Base Price, respectively, greater than the consideration offered in connection with any such transaction or event or Change in Control, the Committee may in its sole discretion elect to cancel such Option Right or Appreciation Right without any payment to the person holding such Option Right or Appreciation Right. The Committee shall also make or provide for such adjustments in the numbers of shares of Common Stock specified in </w:t>
      </w:r>
      <w:r>
        <w:rPr>
          <w:rFonts w:ascii="Times New Roman;serif" w:hAnsi="Times New Roman;serif"/>
          <w:b/>
          <w:color w:val="000000"/>
          <w:sz w:val="20"/>
          <w:u w:val="single"/>
          <w:shd w:fill="FFFFFF" w:val="clear"/>
        </w:rPr>
        <w:t>Section 3</w:t>
      </w:r>
      <w:r>
        <w:rPr>
          <w:color w:val="000000"/>
          <w:shd w:fill="FFFFFF" w:val="clear"/>
        </w:rPr>
        <w:t xml:space="preserve"> </w:t>
      </w:r>
      <w:r>
        <w:rPr>
          <w:rFonts w:ascii="Times New Roman;serif" w:hAnsi="Times New Roman;serif"/>
          <w:b w:val="false"/>
          <w:color w:val="000000"/>
          <w:sz w:val="20"/>
          <w:shd w:fill="FFFFFF" w:val="clear"/>
        </w:rPr>
        <w:t xml:space="preserve">of this Plan as the Committee in its sole discretion, determines, in good faith, is appropriate to reflect any transaction or event described in this </w:t>
      </w:r>
      <w:r>
        <w:rPr>
          <w:rFonts w:ascii="Times New Roman;serif" w:hAnsi="Times New Roman;serif"/>
          <w:b/>
          <w:color w:val="000000"/>
          <w:sz w:val="20"/>
          <w:u w:val="single"/>
          <w:shd w:fill="FFFFFF" w:val="clear"/>
        </w:rPr>
        <w:t>Section 11</w:t>
      </w:r>
      <w:r>
        <w:rPr>
          <w:rFonts w:ascii="Times New Roman;serif" w:hAnsi="Times New Roman;serif"/>
          <w:b w:val="false"/>
          <w:color w:val="000000"/>
          <w:sz w:val="20"/>
          <w:shd w:fill="FFFFFF" w:val="clear"/>
        </w:rPr>
        <w:t xml:space="preserve">; provided, however, that any such adjustment to the number specified in Section 3(c) of this Plan will be made only if and to the extent that such adjustment would not cause any Option Right intended to qualify as an Incentive Stock Option to fail to so qualify. </w:t>
      </w:r>
    </w:p>
    <w:p>
      <w:pPr>
        <w:pStyle w:val="TextBody"/>
        <w:bidi w:val="0"/>
        <w:spacing w:lineRule="auto" w:line="288" w:before="120" w:after="120"/>
        <w:ind w:left="0" w:right="0" w:firstLine="400"/>
        <w:jc w:val="both"/>
        <w:rPr>
          <w:shd w:fill="FFFFFF" w:val="clear"/>
        </w:rPr>
      </w:pPr>
      <w:r>
        <w:rPr>
          <w:rFonts w:ascii="Times New Roman;serif" w:hAnsi="Times New Roman;serif"/>
          <w:b w:val="false"/>
          <w:color w:val="000000"/>
          <w:sz w:val="20"/>
          <w:shd w:fill="FFFFFF" w:val="clear"/>
        </w:rPr>
        <w:t>12. </w:t>
      </w:r>
      <w:r>
        <w:rPr>
          <w:rFonts w:ascii="Times New Roman;serif" w:hAnsi="Times New Roman;serif"/>
          <w:b/>
          <w:color w:val="000000"/>
          <w:sz w:val="20"/>
          <w:shd w:fill="FFFFFF" w:val="clear"/>
        </w:rPr>
        <w:t>Change in Control</w:t>
      </w:r>
      <w:r>
        <w:rPr>
          <w:rFonts w:ascii="Times New Roman;serif" w:hAnsi="Times New Roman;serif"/>
          <w:b w:val="false"/>
          <w:color w:val="000000"/>
          <w:sz w:val="20"/>
          <w:shd w:fill="FFFFFF" w:val="clear"/>
        </w:rPr>
        <w:t xml:space="preserve">. For purposes of this Plan, except as may be otherwise prescribed by the Committee in an Evidence of Award made under this Plan or as otherwise provided in another plan or agreement applicable to the Participant, a “Change in Control” will be deemed to have occurred upon the occurrence of any of the following events after the consummation of the transactions contemplated by the BCA; </w:t>
      </w:r>
      <w:r>
        <w:rPr>
          <w:rFonts w:ascii="Times New Roman;serif" w:hAnsi="Times New Roman;serif"/>
          <w:b w:val="false"/>
          <w:color w:val="000000"/>
          <w:sz w:val="20"/>
          <w:u w:val="single"/>
          <w:shd w:fill="FFFFFF" w:val="clear"/>
        </w:rPr>
        <w:t>provided</w:t>
      </w:r>
      <w:r>
        <w:rPr>
          <w:rFonts w:ascii="Times New Roman;serif" w:hAnsi="Times New Roman;serif"/>
          <w:b w:val="false"/>
          <w:color w:val="000000"/>
          <w:sz w:val="20"/>
          <w:shd w:fill="FFFFFF" w:val="clear"/>
        </w:rPr>
        <w:t xml:space="preserve">, that for the avoidance of doubt, the transactions contemplated by the BCA shall not constitute a Change in Control for purposes of this Plan: </w:t>
      </w:r>
    </w:p>
    <w:p>
      <w:pPr>
        <w:pStyle w:val="TextBody"/>
        <w:bidi w:val="0"/>
        <w:spacing w:lineRule="auto" w:line="288" w:before="120" w:after="120"/>
        <w:ind w:left="0" w:right="0" w:firstLine="400"/>
        <w:jc w:val="both"/>
        <w:rPr>
          <w:shd w:fill="FFFFFF" w:val="clear"/>
        </w:rPr>
      </w:pPr>
      <w:r>
        <w:rPr>
          <w:rFonts w:ascii="Times New Roman;serif" w:hAnsi="Times New Roman;serif"/>
          <w:b w:val="false"/>
          <w:color w:val="000000"/>
          <w:sz w:val="20"/>
          <w:shd w:fill="FFFFFF" w:val="clear"/>
        </w:rPr>
        <w:t>(a) the acquisition by any individual, entity or group (within the meaning of Section 13(d)(3) or 14(d)(2) of the Exchange Act) (a “</w:t>
      </w:r>
      <w:r>
        <w:rPr>
          <w:rFonts w:ascii="Times New Roman;serif" w:hAnsi="Times New Roman;serif"/>
          <w:b w:val="false"/>
          <w:color w:val="000000"/>
          <w:sz w:val="20"/>
          <w:u w:val="single"/>
          <w:shd w:fill="FFFFFF" w:val="clear"/>
        </w:rPr>
        <w:t>Person</w:t>
      </w:r>
      <w:r>
        <w:rPr>
          <w:color w:val="000000"/>
          <w:shd w:fill="FFFFFF" w:val="clear"/>
        </w:rPr>
        <w:t>”</w:t>
      </w:r>
      <w:r>
        <w:rPr>
          <w:rFonts w:ascii="Times New Roman;serif" w:hAnsi="Times New Roman;serif"/>
          <w:b w:val="false"/>
          <w:color w:val="000000"/>
          <w:sz w:val="20"/>
          <w:shd w:fill="FFFFFF" w:val="clear"/>
        </w:rPr>
        <w:t>) of beneficial ownership (within the meaning of Rule 13d-3 promulgated under the Exchange Act) of voting securities of the Company where such acquisition causes such Person to own more than 50% of the combined voting power of the then outstanding voting securities of the Company entitled to vote generally in the election of Directors (the “</w:t>
      </w:r>
      <w:r>
        <w:rPr>
          <w:rFonts w:ascii="Times New Roman;serif" w:hAnsi="Times New Roman;serif"/>
          <w:b w:val="false"/>
          <w:color w:val="000000"/>
          <w:sz w:val="20"/>
          <w:u w:val="single"/>
          <w:shd w:fill="FFFFFF" w:val="clear"/>
        </w:rPr>
        <w:t>Outstanding Company Voting Securities</w:t>
      </w:r>
      <w:r>
        <w:rPr>
          <w:color w:val="000000"/>
          <w:shd w:fill="FFFFFF" w:val="clear"/>
        </w:rPr>
        <w:t>”</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u w:val="single"/>
          <w:shd w:fill="FFFFFF" w:val="clear"/>
        </w:rPr>
        <w:t>provided</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u w:val="single"/>
          <w:shd w:fill="FFFFFF" w:val="clear"/>
        </w:rPr>
        <w:t>however</w:t>
      </w:r>
      <w:r>
        <w:rPr>
          <w:rFonts w:ascii="Times New Roman;serif" w:hAnsi="Times New Roman;serif"/>
          <w:b w:val="false"/>
          <w:color w:val="000000"/>
          <w:sz w:val="20"/>
          <w:shd w:fill="FFFFFF" w:val="clear"/>
        </w:rPr>
        <w:t xml:space="preserve">, that for purposes of this </w:t>
      </w:r>
      <w:r>
        <w:rPr>
          <w:rFonts w:ascii="Times New Roman;serif" w:hAnsi="Times New Roman;serif"/>
          <w:b/>
          <w:color w:val="000000"/>
          <w:sz w:val="20"/>
          <w:u w:val="single"/>
          <w:shd w:fill="FFFFFF" w:val="clear"/>
        </w:rPr>
        <w:t>subsection (a)</w:t>
      </w:r>
      <w:r>
        <w:rPr>
          <w:rFonts w:ascii="Times New Roman;serif" w:hAnsi="Times New Roman;serif"/>
          <w:b w:val="false"/>
          <w:color w:val="000000"/>
          <w:sz w:val="20"/>
          <w:shd w:fill="FFFFFF" w:val="clear"/>
        </w:rPr>
        <w:t xml:space="preserve">, the following acquisitions shall not be deemed to result in a Change in Control: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20"/>
              </w:rPr>
              <w:t xml:space="preserve">any acquisition directly from the Company that is approved by the Incumbent Board (as defined in </w:t>
            </w:r>
            <w:r>
              <w:rPr>
                <w:rFonts w:ascii="Times New Roman;serif" w:hAnsi="Times New Roman;serif"/>
                <w:b/>
                <w:color w:val="000000"/>
                <w:sz w:val="20"/>
                <w:u w:val="single"/>
              </w:rPr>
              <w:t>subsection (b)</w:t>
            </w:r>
            <w:r>
              <w:rPr>
                <w:color w:val="000000"/>
              </w:rPr>
              <w:t xml:space="preserve"> </w:t>
            </w:r>
            <w:r>
              <w:rPr>
                <w:rFonts w:ascii="Times New Roman;serif" w:hAnsi="Times New Roman;serif"/>
                <w:b w:val="false"/>
                <w:color w:val="000000"/>
                <w:sz w:val="20"/>
              </w:rPr>
              <w:t xml:space="preserve">below), </w:t>
            </w:r>
          </w:p>
        </w:tc>
      </w:tr>
    </w:tbl>
    <w:p>
      <w:pPr>
        <w:pStyle w:val="TextBody"/>
        <w:bidi w:val="0"/>
        <w:spacing w:before="120" w:after="120"/>
        <w:jc w:val="left"/>
        <w:rPr/>
      </w:pPr>
      <w:r>
        <w:rPr/>
      </w:r>
    </w:p>
    <w:p>
      <w:pPr>
        <w:pStyle w:val="TextBody"/>
        <w:bidi w:val="0"/>
        <w:spacing w:lineRule="auto" w:line="26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INNVENTURE, INC. </w:t>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685"/>
                <wp:effectExtent l="0" t="0" r="0" b="0"/>
                <wp:wrapNone/>
                <wp:docPr id="149" name="Frame1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79.0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2024 EQUITY AND INCENTIVE COMPENSATION PLAN </w:t>
      </w:r>
    </w:p>
    <w:tbl>
      <w:tblPr>
        <w:tblW w:w="3254" w:type="dxa"/>
        <w:jc w:val="left"/>
        <w:tblInd w:w="0" w:type="dxa"/>
        <w:tblLayout w:type="fixed"/>
        <w:tblCellMar>
          <w:top w:w="28" w:type="dxa"/>
          <w:left w:w="28" w:type="dxa"/>
          <w:bottom w:w="28" w:type="dxa"/>
          <w:right w:w="28" w:type="dxa"/>
        </w:tblCellMar>
      </w:tblPr>
      <w:tblGrid>
        <w:gridCol w:w="130"/>
        <w:gridCol w:w="115"/>
        <w:gridCol w:w="115"/>
        <w:gridCol w:w="847"/>
        <w:gridCol w:w="847"/>
        <w:gridCol w:w="1200"/>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r>
      <w:tr>
        <w:trPr/>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(ii)</w:t>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any acquisition by the Company, </w:t>
            </w:r>
          </w:p>
        </w:tc>
      </w:tr>
    </w:tbl>
    <w:p>
      <w:pPr>
        <w:pStyle w:val="TextBody"/>
        <w:bidi w:val="0"/>
        <w:spacing w:before="120" w:after="120"/>
        <w:jc w:val="left"/>
        <w:rPr/>
      </w:pPr>
      <w:r>
        <w:rPr/>
      </w:r>
    </w:p>
    <w:tbl>
      <w:tblPr>
        <w:tblW w:w="10205" w:type="dxa"/>
        <w:jc w:val="left"/>
        <w:tblInd w:w="0" w:type="dxa"/>
        <w:tblLayout w:type="fixed"/>
        <w:tblCellMar>
          <w:top w:w="28" w:type="dxa"/>
          <w:left w:w="28" w:type="dxa"/>
          <w:bottom w:w="28" w:type="dxa"/>
          <w:right w:w="28" w:type="dxa"/>
        </w:tblCellMar>
      </w:tblPr>
      <w:tblGrid>
        <w:gridCol w:w="145"/>
        <w:gridCol w:w="129"/>
        <w:gridCol w:w="130"/>
        <w:gridCol w:w="2869"/>
        <w:gridCol w:w="2869"/>
        <w:gridCol w:w="4063"/>
      </w:tblGrid>
      <w:tr>
        <w:trPr/>
        <w:tc>
          <w:tcPr>
            <w:tcW w:w="14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sz w:val="4"/>
                <w:szCs w:val="4"/>
              </w:rPr>
            </w:pPr>
            <w:r>
              <w:rPr>
                <w:sz w:val="4"/>
                <w:szCs w:val="4"/>
              </w:rPr>
            </w:r>
          </w:p>
        </w:tc>
        <w:tc>
          <w:tcPr>
            <w:tcW w:w="4063" w:type="dxa"/>
            <w:tcBorders/>
            <w:vAlign w:val="center"/>
          </w:tcPr>
          <w:p>
            <w:pPr>
              <w:pStyle w:val="TableContents"/>
              <w:bidi w:val="0"/>
              <w:spacing w:before="0" w:after="283"/>
              <w:jc w:val="left"/>
              <w:rPr>
                <w:sz w:val="4"/>
                <w:szCs w:val="4"/>
              </w:rPr>
            </w:pPr>
            <w:r>
              <w:rPr>
                <w:sz w:val="4"/>
                <w:szCs w:val="4"/>
              </w:rPr>
            </w:r>
          </w:p>
        </w:tc>
      </w:tr>
      <w:tr>
        <w:trPr/>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(iii)</w:t>
            </w:r>
          </w:p>
        </w:tc>
        <w:tc>
          <w:tcPr>
            <w:tcW w:w="980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any acquisition by any employee benefit plan (or related trust) sponsored or maintained by the Company or any corporation controlled by the Company, or </w:t>
            </w:r>
          </w:p>
        </w:tc>
      </w:tr>
    </w:tbl>
    <w:p>
      <w:pPr>
        <w:pStyle w:val="TextBody"/>
        <w:bidi w:val="0"/>
        <w:spacing w:before="120" w:after="120"/>
        <w:jc w:val="left"/>
        <w:rPr/>
      </w:pPr>
      <w:r>
        <w:rPr/>
      </w:r>
    </w:p>
    <w:tbl>
      <w:tblPr>
        <w:tblW w:w="10205" w:type="dxa"/>
        <w:jc w:val="left"/>
        <w:tblInd w:w="0" w:type="dxa"/>
        <w:tblLayout w:type="fixed"/>
        <w:tblCellMar>
          <w:top w:w="28" w:type="dxa"/>
          <w:left w:w="28" w:type="dxa"/>
          <w:bottom w:w="28" w:type="dxa"/>
          <w:right w:w="28" w:type="dxa"/>
        </w:tblCellMar>
      </w:tblPr>
      <w:tblGrid>
        <w:gridCol w:w="126"/>
        <w:gridCol w:w="111"/>
        <w:gridCol w:w="112"/>
        <w:gridCol w:w="2885"/>
        <w:gridCol w:w="2885"/>
        <w:gridCol w:w="4086"/>
      </w:tblGrid>
      <w:tr>
        <w:trPr/>
        <w:tc>
          <w:tcPr>
            <w:tcW w:w="12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86" w:type="dxa"/>
            <w:tcBorders/>
            <w:vAlign w:val="center"/>
          </w:tcPr>
          <w:p>
            <w:pPr>
              <w:pStyle w:val="TableContents"/>
              <w:bidi w:val="0"/>
              <w:spacing w:before="0" w:after="283"/>
              <w:jc w:val="left"/>
              <w:rPr>
                <w:sz w:val="4"/>
                <w:szCs w:val="4"/>
              </w:rPr>
            </w:pPr>
            <w:r>
              <w:rPr>
                <w:sz w:val="4"/>
                <w:szCs w:val="4"/>
              </w:rPr>
            </w:r>
          </w:p>
        </w:tc>
      </w:tr>
      <w:tr>
        <w:trPr/>
        <w:tc>
          <w:tcPr>
            <w:tcW w:w="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(iv)</w:t>
            </w:r>
          </w:p>
        </w:tc>
        <w:tc>
          <w:tcPr>
            <w:tcW w:w="9856"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20"/>
              </w:rPr>
              <w:t xml:space="preserve">any acquisition by any corporation pursuant to a transaction that complies with </w:t>
            </w:r>
            <w:r>
              <w:rPr>
                <w:rFonts w:ascii="Times New Roman;serif" w:hAnsi="Times New Roman;serif"/>
                <w:b/>
                <w:color w:val="000000"/>
                <w:sz w:val="20"/>
                <w:u w:val="single"/>
              </w:rPr>
              <w:t>clauses (i), (ii) and (iii)</w:t>
            </w:r>
            <w:r>
              <w:rPr>
                <w:color w:val="000000"/>
              </w:rPr>
              <w:t xml:space="preserve"> </w:t>
            </w:r>
            <w:r>
              <w:rPr>
                <w:rFonts w:ascii="Times New Roman;serif" w:hAnsi="Times New Roman;serif"/>
                <w:b w:val="false"/>
                <w:color w:val="000000"/>
                <w:sz w:val="20"/>
              </w:rPr>
              <w:t xml:space="preserve">of </w:t>
            </w:r>
            <w:r>
              <w:rPr>
                <w:rFonts w:ascii="Times New Roman;serif" w:hAnsi="Times New Roman;serif"/>
                <w:b/>
                <w:color w:val="000000"/>
                <w:sz w:val="20"/>
                <w:u w:val="single"/>
              </w:rPr>
              <w:t>subsection (c)</w:t>
            </w:r>
            <w:r>
              <w:rPr>
                <w:color w:val="000000"/>
              </w:rPr>
              <w:t xml:space="preserve"> </w:t>
            </w:r>
            <w:r>
              <w:rPr>
                <w:rFonts w:ascii="Times New Roman;serif" w:hAnsi="Times New Roman;serif"/>
                <w:b w:val="false"/>
                <w:color w:val="000000"/>
                <w:sz w:val="20"/>
              </w:rPr>
              <w:t xml:space="preserve">below;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further</w:t>
            </w:r>
            <w:r>
              <w:rPr>
                <w:rFonts w:ascii="Times New Roman;serif" w:hAnsi="Times New Roman;serif"/>
                <w:b w:val="false"/>
                <w:color w:val="000000"/>
                <w:sz w:val="20"/>
              </w:rPr>
              <w:t xml:space="preserve">, that if any Person’s beneficial ownership of the Outstanding Company Voting Securities exceeds 50% as a result of a transaction described in </w:t>
            </w:r>
            <w:r>
              <w:rPr>
                <w:rFonts w:ascii="Times New Roman;serif" w:hAnsi="Times New Roman;serif"/>
                <w:b/>
                <w:color w:val="000000"/>
                <w:sz w:val="20"/>
                <w:u w:val="single"/>
              </w:rPr>
              <w:t>clause (i) or (ii)</w:t>
            </w:r>
            <w:r>
              <w:rPr>
                <w:color w:val="000000"/>
              </w:rPr>
              <w:t xml:space="preserve"> </w:t>
            </w:r>
            <w:r>
              <w:rPr>
                <w:rFonts w:ascii="Times New Roman;serif" w:hAnsi="Times New Roman;serif"/>
                <w:b w:val="false"/>
                <w:color w:val="000000"/>
                <w:sz w:val="20"/>
              </w:rPr>
              <w:t xml:space="preserve">above, and such Person subsequently acquires beneficial ownership of additional voting securities of the Company, such subsequent acquisition shall be treated as an acquisition that causes such Person to own more than 50% of the Outstanding Company Voting Securities; and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further</w:t>
            </w:r>
            <w:r>
              <w:rPr>
                <w:rFonts w:ascii="Times New Roman;serif" w:hAnsi="Times New Roman;serif"/>
                <w:b w:val="false"/>
                <w:color w:val="000000"/>
                <w:sz w:val="20"/>
              </w:rPr>
              <w:t xml:space="preserve">, that if at least a majority of the members of the Incumbent Board determines in good faith that a Person has acquired beneficial ownership (within the meaning of Rule 13d-3 promulgated under the Exchange Act) of more than 50% of the Outstanding Company Voting Securities inadvertently, and such Person divests as promptly as practicable a sufficient number of shares so that such Person beneficially owns (within the meaning of Rule 13d-3 promulgated under the Exchange Act) 50% or less of the Outstanding Company Voting Securities, then no Change in Control shall have occurred as a result of such Person’s acquisition; </w:t>
            </w:r>
          </w:p>
          <w:p>
            <w:pPr>
              <w:pStyle w:val="TableContents"/>
              <w:bidi w:val="0"/>
              <w:spacing w:lineRule="auto" w:line="288" w:before="0" w:after="0"/>
              <w:jc w:val="both"/>
              <w:rPr>
                <w:color w:val="000000"/>
              </w:rPr>
            </w:pPr>
            <w:r>
              <w:rPr>
                <w:color w:val="000000"/>
              </w:rPr>
              <w:t> </w:t>
            </w:r>
          </w:p>
        </w:tc>
      </w:tr>
    </w:tbl>
    <w:p>
      <w:pPr>
        <w:pStyle w:val="TextBody"/>
        <w:bidi w:val="0"/>
        <w:spacing w:lineRule="auto" w:line="288" w:before="120" w:after="120"/>
        <w:ind w:left="0" w:right="0" w:firstLine="400"/>
        <w:jc w:val="both"/>
        <w:rPr>
          <w:shd w:fill="FFFFFF" w:val="clear"/>
        </w:rPr>
      </w:pPr>
      <w:r>
        <w:rPr>
          <w:rFonts w:ascii="Times New Roman;serif" w:hAnsi="Times New Roman;serif"/>
          <w:b w:val="false"/>
          <w:color w:val="000000"/>
          <w:sz w:val="20"/>
          <w:shd w:fill="FFFFFF" w:val="clear"/>
        </w:rPr>
        <w:t>(b) individuals who, as of the Effective Date, constitute the Board (the “</w:t>
      </w:r>
      <w:r>
        <w:rPr>
          <w:rFonts w:ascii="Times New Roman;serif" w:hAnsi="Times New Roman;serif"/>
          <w:b w:val="false"/>
          <w:color w:val="000000"/>
          <w:sz w:val="20"/>
          <w:u w:val="single"/>
          <w:shd w:fill="FFFFFF" w:val="clear"/>
        </w:rPr>
        <w:t>Incumbent Board</w:t>
      </w:r>
      <w:r>
        <w:rPr>
          <w:color w:val="000000"/>
          <w:shd w:fill="FFFFFF" w:val="clear"/>
        </w:rPr>
        <w:t xml:space="preserve">” </w:t>
      </w:r>
      <w:r>
        <w:rPr>
          <w:rFonts w:ascii="Times New Roman;serif" w:hAnsi="Times New Roman;serif"/>
          <w:b w:val="false"/>
          <w:color w:val="000000"/>
          <w:sz w:val="20"/>
          <w:shd w:fill="FFFFFF" w:val="clear"/>
        </w:rPr>
        <w:t xml:space="preserve">as modified by this </w:t>
      </w:r>
      <w:r>
        <w:rPr>
          <w:rFonts w:ascii="Times New Roman;serif" w:hAnsi="Times New Roman;serif"/>
          <w:b/>
          <w:color w:val="000000"/>
          <w:sz w:val="20"/>
          <w:u w:val="single"/>
          <w:shd w:fill="FFFFFF" w:val="clear"/>
        </w:rPr>
        <w:t>subsection (b)</w:t>
      </w:r>
      <w:r>
        <w:rPr>
          <w:rFonts w:ascii="Times New Roman;serif" w:hAnsi="Times New Roman;serif"/>
          <w:b w:val="false"/>
          <w:color w:val="000000"/>
          <w:sz w:val="20"/>
          <w:shd w:fill="FFFFFF" w:val="clear"/>
        </w:rPr>
        <w:t xml:space="preserve">) cease for any reason to constitute at least a majority of the Board; </w:t>
      </w:r>
      <w:r>
        <w:rPr>
          <w:rFonts w:ascii="Times New Roman;serif" w:hAnsi="Times New Roman;serif"/>
          <w:b w:val="false"/>
          <w:color w:val="000000"/>
          <w:sz w:val="20"/>
          <w:u w:val="single"/>
          <w:shd w:fill="FFFFFF" w:val="clear"/>
        </w:rPr>
        <w:t>provided</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u w:val="single"/>
          <w:shd w:fill="FFFFFF" w:val="clear"/>
        </w:rPr>
        <w:t>however</w:t>
      </w:r>
      <w:r>
        <w:rPr>
          <w:rFonts w:ascii="Times New Roman;serif" w:hAnsi="Times New Roman;serif"/>
          <w:b w:val="false"/>
          <w:color w:val="000000"/>
          <w:sz w:val="20"/>
          <w:shd w:fill="FFFFFF" w:val="clear"/>
        </w:rPr>
        <w:t xml:space="preserve">, that any individual becoming a Director subsequent to the Effective Date whose election, or nomination for election by the Stockholders, was approved by a vote of at least a majority of the Directors then comprising the Incumbent Board (either by specific vote or by approval of the proxy statement of the Company in which such person is named as a nominee for Director, without objection to such nomination) shall be considered as though such individual were a member of the Incumbent Board, but excluding, for this purpose, any such individual whose initial assumption of office occurs as a result of an actual or threatened election contest or the use of any proxy access procedures in the Company’s organizational documents with respect to the election or removal of Directors or other actual or threatened solicitation of proxies or consents by or on behalf of a Person other than the Board; </w:t>
      </w:r>
    </w:p>
    <w:p>
      <w:pPr>
        <w:pStyle w:val="TextBody"/>
        <w:bidi w:val="0"/>
        <w:spacing w:lineRule="auto" w:line="288" w:before="120" w:after="120"/>
        <w:ind w:left="0" w:right="0" w:firstLine="400"/>
        <w:jc w:val="both"/>
        <w:rPr>
          <w:shd w:fill="FFFFFF" w:val="clear"/>
        </w:rPr>
      </w:pPr>
      <w:r>
        <w:rPr>
          <w:rFonts w:ascii="Times New Roman;serif" w:hAnsi="Times New Roman;serif"/>
          <w:b w:val="false"/>
          <w:color w:val="000000"/>
          <w:sz w:val="20"/>
          <w:shd w:fill="FFFFFF" w:val="clear"/>
        </w:rPr>
        <w:t>(c) consummation of a reorganization, merger or consolidation or sale or other disposition of all or substantially all of the assets of the Company or the acquisition of assets of another corporation or other transaction (“</w:t>
      </w:r>
      <w:r>
        <w:rPr>
          <w:rFonts w:ascii="Times New Roman;serif" w:hAnsi="Times New Roman;serif"/>
          <w:b w:val="false"/>
          <w:color w:val="000000"/>
          <w:sz w:val="20"/>
          <w:u w:val="single"/>
          <w:shd w:fill="FFFFFF" w:val="clear"/>
        </w:rPr>
        <w:t>Business Combination</w:t>
      </w:r>
      <w:r>
        <w:rPr>
          <w:color w:val="000000"/>
          <w:shd w:fill="FFFFFF" w:val="clear"/>
        </w:rPr>
        <w:t>”</w:t>
      </w:r>
      <w:r>
        <w:rPr>
          <w:rFonts w:ascii="Times New Roman;serif" w:hAnsi="Times New Roman;serif"/>
          <w:b w:val="false"/>
          <w:color w:val="000000"/>
          <w:sz w:val="20"/>
          <w:shd w:fill="FFFFFF" w:val="clear"/>
        </w:rPr>
        <w:t xml:space="preserve">) excluding, however, such a Business Combination pursuant to which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individuals and entities who were the beneficial owners of the Outstanding Company Voting Securities immediately prior to such Business Combination beneficially own, directly or indirectly, more than 50% of, respectively, the then outstanding shares of common stock and the combined voting power of the then outstanding voting securities entitled to vote generally in the election of directors, as the case may be, of the entity resulting from such Business Combination (including, without limitation, an entity that as a result of such transaction owns the Company or all or substantially all of the Company’s assets either directly or through one or more subsidiaries), </w:t>
            </w:r>
          </w:p>
        </w:tc>
      </w:tr>
    </w:tbl>
    <w:p>
      <w:pPr>
        <w:pStyle w:val="TextBody"/>
        <w:bidi w:val="0"/>
        <w:spacing w:before="120" w:after="120"/>
        <w:jc w:val="left"/>
        <w:rPr/>
      </w:pPr>
      <w:r>
        <w:rPr/>
      </w:r>
    </w:p>
    <w:tbl>
      <w:tblPr>
        <w:tblW w:w="10205" w:type="dxa"/>
        <w:jc w:val="left"/>
        <w:tblInd w:w="0" w:type="dxa"/>
        <w:tblLayout w:type="fixed"/>
        <w:tblCellMar>
          <w:top w:w="28" w:type="dxa"/>
          <w:left w:w="28" w:type="dxa"/>
          <w:bottom w:w="28" w:type="dxa"/>
          <w:right w:w="28" w:type="dxa"/>
        </w:tblCellMar>
      </w:tblPr>
      <w:tblGrid>
        <w:gridCol w:w="125"/>
        <w:gridCol w:w="110"/>
        <w:gridCol w:w="110"/>
        <w:gridCol w:w="2886"/>
        <w:gridCol w:w="2886"/>
        <w:gridCol w:w="4088"/>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88"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(ii)</w:t>
            </w:r>
          </w:p>
        </w:tc>
        <w:tc>
          <w:tcPr>
            <w:tcW w:w="98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no Person (excluding any employee benefit plan (or related trust) of the Company, the Company or such entity resulting from such Business Combination) beneficially owns, directly or indirectly, more than 50% of the combined voting power of the then outstanding securities entitled to vote generally in the election of directors of the entity resulting from such Business Combination, and </w:t>
            </w:r>
          </w:p>
        </w:tc>
      </w:tr>
    </w:tbl>
    <w:p>
      <w:pPr>
        <w:pStyle w:val="TextBody"/>
        <w:bidi w:val="0"/>
        <w:spacing w:before="120" w:after="120"/>
        <w:jc w:val="left"/>
        <w:rPr/>
      </w:pPr>
      <w:r>
        <w:rPr/>
      </w:r>
    </w:p>
    <w:tbl>
      <w:tblPr>
        <w:tblW w:w="10205" w:type="dxa"/>
        <w:jc w:val="left"/>
        <w:tblInd w:w="0" w:type="dxa"/>
        <w:tblLayout w:type="fixed"/>
        <w:tblCellMar>
          <w:top w:w="28" w:type="dxa"/>
          <w:left w:w="28" w:type="dxa"/>
          <w:bottom w:w="28" w:type="dxa"/>
          <w:right w:w="28" w:type="dxa"/>
        </w:tblCellMar>
      </w:tblPr>
      <w:tblGrid>
        <w:gridCol w:w="138"/>
        <w:gridCol w:w="122"/>
        <w:gridCol w:w="123"/>
        <w:gridCol w:w="2875"/>
        <w:gridCol w:w="2875"/>
        <w:gridCol w:w="4072"/>
      </w:tblGrid>
      <w:tr>
        <w:trPr/>
        <w:tc>
          <w:tcPr>
            <w:tcW w:w="13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4072" w:type="dxa"/>
            <w:tcBorders/>
            <w:vAlign w:val="center"/>
          </w:tcPr>
          <w:p>
            <w:pPr>
              <w:pStyle w:val="TableContents"/>
              <w:bidi w:val="0"/>
              <w:spacing w:before="0" w:after="283"/>
              <w:jc w:val="left"/>
              <w:rPr>
                <w:sz w:val="4"/>
                <w:szCs w:val="4"/>
              </w:rPr>
            </w:pPr>
            <w:r>
              <w:rPr>
                <w:sz w:val="4"/>
                <w:szCs w:val="4"/>
              </w:rPr>
            </w:r>
          </w:p>
        </w:tc>
      </w:tr>
      <w:tr>
        <w:trPr/>
        <w:tc>
          <w:tcPr>
            <w:tcW w:w="3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(iii)</w:t>
            </w:r>
          </w:p>
        </w:tc>
        <w:tc>
          <w:tcPr>
            <w:tcW w:w="98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 </w:t>
            </w:r>
          </w:p>
        </w:tc>
      </w:tr>
    </w:tbl>
    <w:p>
      <w:pPr>
        <w:pStyle w:val="TextBody"/>
        <w:bidi w:val="0"/>
        <w:spacing w:lineRule="auto" w:line="26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INNVENTURE, INC. </w:t>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685"/>
                <wp:effectExtent l="0" t="0" r="0" b="0"/>
                <wp:wrapNone/>
                <wp:docPr id="150" name="Frame1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79.0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2024 EQUITY AND INCENTIVE COMPENSATION PLAN </w:t>
      </w:r>
    </w:p>
    <w:p>
      <w:pPr>
        <w:pStyle w:val="TextBody"/>
        <w:bidi w:val="0"/>
        <w:spacing w:lineRule="auto" w:line="288" w:before="120" w:after="120"/>
        <w:ind w:left="0" w:right="0" w:firstLine="400"/>
        <w:jc w:val="both"/>
        <w:rPr>
          <w:shd w:fill="FFFFFF" w:val="clear"/>
        </w:rPr>
      </w:pPr>
      <w:r>
        <w:rPr>
          <w:rFonts w:ascii="Times New Roman;serif" w:hAnsi="Times New Roman;serif"/>
          <w:b w:val="false"/>
          <w:color w:val="000000"/>
          <w:sz w:val="20"/>
          <w:shd w:fill="FFFFFF" w:val="clear"/>
        </w:rPr>
        <w:t xml:space="preserve">(d) Stockholder approval of a complete liquidation or dissolution of the Company except pursuant to a Business Combination that complies with </w:t>
      </w:r>
      <w:r>
        <w:rPr>
          <w:rFonts w:ascii="Times New Roman;serif" w:hAnsi="Times New Roman;serif"/>
          <w:b/>
          <w:color w:val="000000"/>
          <w:sz w:val="20"/>
          <w:u w:val="single"/>
          <w:shd w:fill="FFFFFF" w:val="clear"/>
        </w:rPr>
        <w:t>clauses (i), (ii) and (iii)</w:t>
      </w:r>
      <w:r>
        <w:rPr>
          <w:color w:val="000000"/>
          <w:shd w:fill="FFFFFF" w:val="clear"/>
        </w:rPr>
        <w:t xml:space="preserve"> </w:t>
      </w:r>
      <w:r>
        <w:rPr>
          <w:rFonts w:ascii="Times New Roman;serif" w:hAnsi="Times New Roman;serif"/>
          <w:b w:val="false"/>
          <w:color w:val="000000"/>
          <w:sz w:val="20"/>
          <w:shd w:fill="FFFFFF" w:val="clear"/>
        </w:rPr>
        <w:t xml:space="preserve">of </w:t>
      </w:r>
      <w:r>
        <w:rPr>
          <w:rFonts w:ascii="Times New Roman;serif" w:hAnsi="Times New Roman;serif"/>
          <w:b/>
          <w:color w:val="000000"/>
          <w:sz w:val="20"/>
          <w:u w:val="single"/>
          <w:shd w:fill="FFFFFF" w:val="clear"/>
        </w:rPr>
        <w:t>subsection (c)</w:t>
      </w:r>
      <w:r>
        <w:rPr>
          <w:color w:val="000000"/>
          <w:shd w:fill="FFFFFF" w:val="clear"/>
        </w:rPr>
        <w:t xml:space="preserve"> </w:t>
      </w:r>
      <w:r>
        <w:rPr>
          <w:rFonts w:ascii="Times New Roman;serif" w:hAnsi="Times New Roman;serif"/>
          <w:b w:val="false"/>
          <w:color w:val="000000"/>
          <w:sz w:val="20"/>
          <w:shd w:fill="FFFFFF" w:val="clear"/>
        </w:rPr>
        <w:t xml:space="preserve">above. </w:t>
      </w:r>
    </w:p>
    <w:p>
      <w:pPr>
        <w:pStyle w:val="TextBody"/>
        <w:bidi w:val="0"/>
        <w:spacing w:lineRule="auto" w:line="288" w:before="120" w:after="120"/>
        <w:ind w:left="0" w:right="0" w:firstLine="400"/>
        <w:jc w:val="both"/>
        <w:rPr>
          <w:shd w:fill="FFFFFF" w:val="clear"/>
        </w:rPr>
      </w:pPr>
      <w:r>
        <w:rPr>
          <w:rFonts w:ascii="Times New Roman;serif" w:hAnsi="Times New Roman;serif"/>
          <w:b w:val="false"/>
          <w:color w:val="000000"/>
          <w:sz w:val="20"/>
          <w:shd w:fill="FFFFFF" w:val="clear"/>
        </w:rPr>
        <w:t>13. </w:t>
      </w:r>
      <w:r>
        <w:rPr>
          <w:rFonts w:ascii="Times New Roman;serif" w:hAnsi="Times New Roman;serif"/>
          <w:b/>
          <w:color w:val="000000"/>
          <w:sz w:val="20"/>
          <w:shd w:fill="FFFFFF" w:val="clear"/>
        </w:rPr>
        <w:t>Clawback and Recoupment Provisions</w:t>
      </w:r>
      <w:r>
        <w:rPr>
          <w:rFonts w:ascii="Times New Roman;serif" w:hAnsi="Times New Roman;serif"/>
          <w:b w:val="false"/>
          <w:color w:val="000000"/>
          <w:sz w:val="20"/>
          <w:shd w:fill="FFFFFF" w:val="clear"/>
        </w:rPr>
        <w:t>. Any Evidence of Award (or any part thereof) may provide for the cancellation or forfeiture of an award or the forfeiture and repayment to the Company of any gain or earnings related to an award, or other provisions intended to have a similar effect, upon such terms and conditions as may be determined by the Committee in accordance with (a) any Company clawback or recoupment policy or policies as adopted from time to time, including any policy that is adopted to comply with the requirements of any applicable laws, rules, regulations, stock exchange listing standards or otherwise (in each case, the “</w:t>
      </w:r>
      <w:r>
        <w:rPr>
          <w:rFonts w:ascii="Times New Roman;serif" w:hAnsi="Times New Roman;serif"/>
          <w:b w:val="false"/>
          <w:color w:val="000000"/>
          <w:sz w:val="20"/>
          <w:u w:val="single"/>
          <w:shd w:fill="FFFFFF" w:val="clear"/>
        </w:rPr>
        <w:t>Clawback Policy</w:t>
      </w:r>
      <w:r>
        <w:rPr>
          <w:color w:val="000000"/>
          <w:shd w:fill="FFFFFF" w:val="clear"/>
        </w:rPr>
        <w:t>”</w:t>
      </w:r>
      <w:r>
        <w:rPr>
          <w:rFonts w:ascii="Times New Roman;serif" w:hAnsi="Times New Roman;serif"/>
          <w:b w:val="false"/>
          <w:color w:val="000000"/>
          <w:sz w:val="20"/>
          <w:shd w:fill="FFFFFF" w:val="clear"/>
        </w:rPr>
        <w:t xml:space="preserve">), or (b) any applicable laws that impose mandatory clawback or recoupment requirements under the circumstances set forth in such laws, including as required by the Sarbanes-Oxley Act of 2002, the Dodd-Frank Wall Street Reform and Consumer Protection Act, or other applicable laws, rules, regulations, or stock exchange listing standards, as may be in effect from time to time, and which may operate to create additional rights for the Company with respect to awards and the recovery of amounts relating thereto. By accepting awards under the Plan, the Participants consent to be bound by the terms of the Clawback Policy, if applicable, and agree and acknowledge that they are obligated to cooperate with, and provide any and all assistance necessary to, the Company in its efforts to recover or recoup any award, any gains or earnings related to any award, or any other amount paid under the Plan or otherwise subject to clawback or recoupment pursuant to such laws, rules, regulations, stock exchange listing standards or Company policy. Such cooperation and assistance shall include, but is not limited to, executing, completing and submitting any documentation necessary to facilitate the recovery or recoupment by the Company from the Participant of any such amounts, including from the Participant’s accounts or from any other compensation, to the extent permissible under Section 409A of the Code. </w:t>
      </w:r>
    </w:p>
    <w:p>
      <w:pPr>
        <w:pStyle w:val="TextBody"/>
        <w:bidi w:val="0"/>
        <w:spacing w:lineRule="auto" w:line="288" w:before="120" w:after="120"/>
        <w:ind w:left="0" w:right="0" w:firstLine="400"/>
        <w:jc w:val="both"/>
        <w:rPr>
          <w:shd w:fill="FFFFFF" w:val="clear"/>
        </w:rPr>
      </w:pPr>
      <w:r>
        <w:rPr>
          <w:rFonts w:ascii="Times New Roman;serif" w:hAnsi="Times New Roman;serif"/>
          <w:b w:val="false"/>
          <w:color w:val="000000"/>
          <w:sz w:val="20"/>
          <w:shd w:fill="FFFFFF" w:val="clear"/>
        </w:rPr>
        <w:t>14. </w:t>
      </w:r>
      <w:r>
        <w:rPr>
          <w:rFonts w:ascii="Times New Roman;serif" w:hAnsi="Times New Roman;serif"/>
          <w:b/>
          <w:color w:val="000000"/>
          <w:sz w:val="20"/>
          <w:shd w:fill="FFFFFF" w:val="clear"/>
        </w:rPr>
        <w:t>Non-U.S. Participants.</w:t>
      </w:r>
      <w:r>
        <w:rPr>
          <w:color w:val="000000"/>
          <w:shd w:fill="FFFFFF" w:val="clear"/>
        </w:rPr>
        <w:t xml:space="preserve"> </w:t>
      </w:r>
      <w:r>
        <w:rPr>
          <w:rFonts w:ascii="Times New Roman;serif" w:hAnsi="Times New Roman;serif"/>
          <w:b w:val="false"/>
          <w:color w:val="000000"/>
          <w:sz w:val="20"/>
          <w:shd w:fill="FFFFFF" w:val="clear"/>
        </w:rPr>
        <w:t xml:space="preserve">In order to facilitate the making of any grant or combination of grants under this Plan, the Committee may provide for such special terms for awards to Participants who are foreign nationals or who are employed by the Company or any Subsidiary outside of the United States of America or who provide services to the Company or any Subsidiary under an agreement with a foreign nation or agency, as the Committee may consider necessary or appropriate to accommodate differences in local law, tax policy or custom. Moreover, the Committee may approve such supplements to or amendments, restatements or alternative versions of this Plan (including sub-plans) (to be considered part of this Plan) as it may consider necessary or appropriate for such purposes, without thereby affecting the terms of this Plan as in effect for any other purpose, and the Secretary or other appropriate officer of the Company may certify any such document as having been approved and adopted in the same manner as this Plan. No such special terms, supplements, amendments or restatements, however, will include any provisions that are inconsistent with the terms of this Plan as then in effect unless this Plan could have been amended to eliminate such inconsistency without further Stockholder approval. </w:t>
      </w:r>
    </w:p>
    <w:p>
      <w:pPr>
        <w:pStyle w:val="TextBody"/>
        <w:bidi w:val="0"/>
        <w:spacing w:lineRule="auto" w:line="288" w:before="120" w:after="120"/>
        <w:ind w:left="0" w:right="0" w:firstLine="400"/>
        <w:jc w:val="left"/>
        <w:rPr>
          <w:shd w:fill="FFFFFF" w:val="clear"/>
        </w:rPr>
      </w:pPr>
      <w:r>
        <w:rPr>
          <w:rFonts w:ascii="Times New Roman;serif" w:hAnsi="Times New Roman;serif"/>
          <w:b w:val="false"/>
          <w:color w:val="000000"/>
          <w:sz w:val="20"/>
          <w:shd w:fill="FFFFFF" w:val="clear"/>
        </w:rPr>
        <w:t>15. </w:t>
      </w:r>
      <w:r>
        <w:rPr>
          <w:rFonts w:ascii="Times New Roman;serif" w:hAnsi="Times New Roman;serif"/>
          <w:b/>
          <w:color w:val="000000"/>
          <w:sz w:val="20"/>
          <w:shd w:fill="FFFFFF" w:val="clear"/>
        </w:rPr>
        <w:t>Transferability.</w:t>
      </w:r>
      <w:r>
        <w:rPr>
          <w:color w:val="000000"/>
          <w:shd w:fill="FFFFFF" w:val="clear"/>
        </w:rPr>
        <w:t> </w:t>
      </w:r>
    </w:p>
    <w:p>
      <w:pPr>
        <w:pStyle w:val="TextBody"/>
        <w:bidi w:val="0"/>
        <w:spacing w:lineRule="auto" w:line="288" w:before="120" w:after="120"/>
        <w:ind w:left="0" w:right="0" w:firstLine="400"/>
        <w:jc w:val="both"/>
        <w:rPr>
          <w:shd w:fill="FFFFFF" w:val="clear"/>
        </w:rPr>
      </w:pPr>
      <w:r>
        <w:rPr>
          <w:rFonts w:ascii="Times New Roman;serif" w:hAnsi="Times New Roman;serif"/>
          <w:b w:val="false"/>
          <w:color w:val="000000"/>
          <w:sz w:val="20"/>
          <w:shd w:fill="FFFFFF" w:val="clear"/>
        </w:rPr>
        <w:t xml:space="preserve">(a) Except as otherwise determined by the Committee, and subject to compliance with </w:t>
      </w:r>
      <w:r>
        <w:rPr>
          <w:rFonts w:ascii="Times New Roman;serif" w:hAnsi="Times New Roman;serif"/>
          <w:b/>
          <w:color w:val="000000"/>
          <w:sz w:val="20"/>
          <w:u w:val="single"/>
          <w:shd w:fill="FFFFFF" w:val="clear"/>
        </w:rPr>
        <w:t>Section 17(b)</w:t>
      </w:r>
      <w:r>
        <w:rPr>
          <w:color w:val="000000"/>
          <w:shd w:fill="FFFFFF" w:val="clear"/>
        </w:rPr>
        <w:t xml:space="preserve"> </w:t>
      </w:r>
      <w:r>
        <w:rPr>
          <w:rFonts w:ascii="Times New Roman;serif" w:hAnsi="Times New Roman;serif"/>
          <w:b w:val="false"/>
          <w:color w:val="000000"/>
          <w:sz w:val="20"/>
          <w:shd w:fill="FFFFFF" w:val="clear"/>
        </w:rPr>
        <w:t xml:space="preserve">of this Plan and Section 409A of the Code, no Option Right, Appreciation Right, Restricted Stock, Restricted Stock Unit, Performance Share, Performance Unit, Cash Incentive Award, award contemplated by </w:t>
      </w:r>
      <w:r>
        <w:rPr>
          <w:rFonts w:ascii="Times New Roman;serif" w:hAnsi="Times New Roman;serif"/>
          <w:b/>
          <w:color w:val="000000"/>
          <w:sz w:val="20"/>
          <w:u w:val="single"/>
          <w:shd w:fill="FFFFFF" w:val="clear"/>
        </w:rPr>
        <w:t>Section 9</w:t>
      </w:r>
      <w:r>
        <w:rPr>
          <w:color w:val="000000"/>
          <w:shd w:fill="FFFFFF" w:val="clear"/>
        </w:rPr>
        <w:t xml:space="preserve"> </w:t>
      </w:r>
      <w:r>
        <w:rPr>
          <w:rFonts w:ascii="Times New Roman;serif" w:hAnsi="Times New Roman;serif"/>
          <w:b w:val="false"/>
          <w:color w:val="000000"/>
          <w:sz w:val="20"/>
          <w:shd w:fill="FFFFFF" w:val="clear"/>
        </w:rPr>
        <w:t xml:space="preserve">of this Plan or dividend equivalents paid with respect to awards made under this Plan will be transferable by the Participant except by will or the laws of descent and distribution. In no event will any such award granted under this Plan be transferred for value. Where transfer is permitted, references to “Participant” shall be construed, as the Committee deems appropriate, to include any permitted transferee to whom such award is transferred. Except as otherwise determined by the Committee, Option Rights and Appreciation Rights will be exercisable during the Participant’s lifetime only by him or her or, in the event of the Participant’s legal incapacity to do so, by his or her guardian or legal representative acting on behalf of the Participant in a fiduciary capacity under state law or court supervision. </w:t>
      </w:r>
    </w:p>
    <w:p>
      <w:pPr>
        <w:pStyle w:val="TextBody"/>
        <w:bidi w:val="0"/>
        <w:spacing w:lineRule="auto" w:line="288" w:before="120" w:after="120"/>
        <w:ind w:left="0" w:right="0" w:firstLine="400"/>
        <w:jc w:val="both"/>
        <w:rPr>
          <w:shd w:fill="FFFFFF" w:val="clear"/>
        </w:rPr>
      </w:pPr>
      <w:r>
        <w:rPr>
          <w:rFonts w:ascii="Times New Roman;serif" w:hAnsi="Times New Roman;serif"/>
          <w:b w:val="false"/>
          <w:color w:val="000000"/>
          <w:sz w:val="20"/>
          <w:shd w:fill="FFFFFF" w:val="clear"/>
        </w:rPr>
        <w:t xml:space="preserve">(b) The Committee may specify on the Date of Grant that part or all of the shares of Common Stock that are (i) to be issued or transferred by the Company upon the exercise of Option Rights or Appreciation Rights, upon the termination of the Restriction Period applicable to Restricted Stock Units or upon payment under any grant of Performance Shares or Performance Units or other awards under this Plan or (ii) no longer subject to the substantial risk of forfeiture and restrictions on transfer referred to in </w:t>
      </w:r>
      <w:r>
        <w:rPr>
          <w:rFonts w:ascii="Times New Roman;serif" w:hAnsi="Times New Roman;serif"/>
          <w:b/>
          <w:color w:val="000000"/>
          <w:sz w:val="20"/>
          <w:u w:val="single"/>
          <w:shd w:fill="FFFFFF" w:val="clear"/>
        </w:rPr>
        <w:t>Section 6</w:t>
      </w:r>
      <w:r>
        <w:rPr>
          <w:color w:val="000000"/>
          <w:shd w:fill="FFFFFF" w:val="clear"/>
        </w:rPr>
        <w:t xml:space="preserve"> </w:t>
      </w:r>
      <w:r>
        <w:rPr>
          <w:rFonts w:ascii="Times New Roman;serif" w:hAnsi="Times New Roman;serif"/>
          <w:b w:val="false"/>
          <w:color w:val="000000"/>
          <w:sz w:val="20"/>
          <w:shd w:fill="FFFFFF" w:val="clear"/>
        </w:rPr>
        <w:t xml:space="preserve">of this Plan, will be subject to further restrictions on transfer, including minimum holding periods. </w:t>
      </w:r>
    </w:p>
    <w:p>
      <w:pPr>
        <w:pStyle w:val="TextBody"/>
        <w:bidi w:val="0"/>
        <w:spacing w:lineRule="auto" w:line="288" w:before="120" w:after="120"/>
        <w:ind w:left="0" w:right="0" w:firstLine="400"/>
        <w:jc w:val="both"/>
        <w:rPr>
          <w:shd w:fill="FFFFFF" w:val="clear"/>
        </w:rPr>
      </w:pPr>
      <w:r>
        <w:rPr>
          <w:rFonts w:ascii="Times New Roman;serif" w:hAnsi="Times New Roman;serif"/>
          <w:b w:val="false"/>
          <w:color w:val="000000"/>
          <w:sz w:val="20"/>
          <w:shd w:fill="FFFFFF" w:val="clear"/>
        </w:rPr>
        <w:t>16. </w:t>
      </w:r>
      <w:r>
        <w:rPr>
          <w:rFonts w:ascii="Times New Roman;serif" w:hAnsi="Times New Roman;serif"/>
          <w:b/>
          <w:color w:val="000000"/>
          <w:sz w:val="20"/>
          <w:shd w:fill="FFFFFF" w:val="clear"/>
        </w:rPr>
        <w:t>Withholding Taxes.</w:t>
      </w:r>
      <w:r>
        <w:rPr>
          <w:color w:val="000000"/>
          <w:shd w:fill="FFFFFF" w:val="clear"/>
        </w:rPr>
        <w:t xml:space="preserve"> </w:t>
      </w:r>
      <w:r>
        <w:rPr>
          <w:rFonts w:ascii="Times New Roman;serif" w:hAnsi="Times New Roman;serif"/>
          <w:b w:val="false"/>
          <w:color w:val="000000"/>
          <w:sz w:val="20"/>
          <w:shd w:fill="FFFFFF" w:val="clear"/>
        </w:rPr>
        <w:t xml:space="preserve">To the extent that the Company is required to withhold federal, state, local or foreign taxes or other amounts in connection with any payment made or benefit realized by a Participant or other person under this Plan, and the amounts available to the Company for such withholding are insufficient, it will be a </w:t>
      </w:r>
    </w:p>
    <w:p>
      <w:pPr>
        <w:pStyle w:val="TextBody"/>
        <w:bidi w:val="0"/>
        <w:spacing w:lineRule="auto" w:line="26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INNVENTURE, INC. </w:t>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6685"/>
                <wp:effectExtent l="0" t="0" r="0" b="0"/>
                <wp:wrapNone/>
                <wp:docPr id="151" name="Frame1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79.0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2024 EQUITY AND INCENTIVE COMPENSATION PLAN </w:t>
      </w:r>
    </w:p>
    <w:p>
      <w:pPr>
        <w:pStyle w:val="TextBody"/>
        <w:bidi w:val="0"/>
        <w:spacing w:lineRule="auto" w:line="288" w:before="120" w:after="120"/>
        <w:jc w:val="both"/>
        <w:rPr>
          <w:shd w:fill="FFFFFF" w:val="clear"/>
        </w:rPr>
      </w:pPr>
      <w:r>
        <w:rPr>
          <w:rFonts w:ascii="Times New Roman;serif" w:hAnsi="Times New Roman;serif"/>
          <w:b w:val="false"/>
          <w:color w:val="000000"/>
          <w:sz w:val="20"/>
          <w:shd w:fill="FFFFFF" w:val="clear"/>
        </w:rPr>
        <w:t xml:space="preserve">condition to the receipt of such payment or the realization of such benefit that the Participant or such other person make arrangements satisfactory to the Company for payment of the balance of such taxes or other amounts required to be withheld, which arrangements (in the discretion of the Committee) may include relinquishment of a portion of such benefit. Notwithstanding the foregoing, when a Participant is required to pay the Company an amount required to be withheld under applicable income, employment, tax and other laws, the Committee may require the Participant to satisfy the obligation, in whole or in part, by having withheld, from the shares of Common Stock delivered or required to be delivered to the Participant, shares of Common Stock having a value equal to the amount required to be withheld or by delivering to the Company other shares of Common Stock held by such Participant. The Common Stock used for tax or other withholding will be valued at an amount equal to the fair market value of such Common Stock on the date the benefit is to be included in the Participant’s income. In no event will the fair market value of the Common Stock to be withheld and delivered pursuant to this </w:t>
      </w:r>
      <w:r>
        <w:rPr>
          <w:rFonts w:ascii="Times New Roman;serif" w:hAnsi="Times New Roman;serif"/>
          <w:b/>
          <w:color w:val="000000"/>
          <w:sz w:val="20"/>
          <w:u w:val="single"/>
          <w:shd w:fill="FFFFFF" w:val="clear"/>
        </w:rPr>
        <w:t>Section 16</w:t>
      </w:r>
      <w:r>
        <w:rPr>
          <w:color w:val="000000"/>
          <w:shd w:fill="FFFFFF" w:val="clear"/>
        </w:rPr>
        <w:t xml:space="preserve"> </w:t>
      </w:r>
      <w:r>
        <w:rPr>
          <w:rFonts w:ascii="Times New Roman;serif" w:hAnsi="Times New Roman;serif"/>
          <w:b w:val="false"/>
          <w:color w:val="000000"/>
          <w:sz w:val="20"/>
          <w:shd w:fill="FFFFFF" w:val="clear"/>
        </w:rPr>
        <w:t xml:space="preserve">exceed the minimum amount required to be withheld, unless (i) an additional amount can be withheld and not result in adverse accounting consequences and (ii) such additional withholding amount is authorized by the Committee. Participants will also make such arrangements as the Company may require for the payment of any withholding tax or other obligation that may arise in connection with the disposition of Common Stock acquired upon the exercise of Option Rights. </w:t>
      </w:r>
    </w:p>
    <w:p>
      <w:pPr>
        <w:pStyle w:val="TextBody"/>
        <w:bidi w:val="0"/>
        <w:spacing w:lineRule="auto" w:line="288" w:before="120" w:after="120"/>
        <w:ind w:left="0" w:right="0" w:firstLine="400"/>
        <w:jc w:val="left"/>
        <w:rPr>
          <w:shd w:fill="FFFFFF" w:val="clear"/>
        </w:rPr>
      </w:pPr>
      <w:r>
        <w:rPr>
          <w:rFonts w:ascii="Times New Roman;serif" w:hAnsi="Times New Roman;serif"/>
          <w:b w:val="false"/>
          <w:color w:val="000000"/>
          <w:sz w:val="20"/>
          <w:shd w:fill="FFFFFF" w:val="clear"/>
        </w:rPr>
        <w:t>17. </w:t>
      </w:r>
      <w:r>
        <w:rPr>
          <w:rFonts w:ascii="Times New Roman;serif" w:hAnsi="Times New Roman;serif"/>
          <w:b/>
          <w:color w:val="000000"/>
          <w:sz w:val="20"/>
          <w:shd w:fill="FFFFFF" w:val="clear"/>
        </w:rPr>
        <w:t>Compliance with Section 409A of the Code.</w:t>
      </w:r>
      <w:r>
        <w:rPr>
          <w:color w:val="000000"/>
          <w:shd w:fill="FFFFFF" w:val="clear"/>
        </w:rPr>
        <w:t> </w:t>
      </w:r>
    </w:p>
    <w:p>
      <w:pPr>
        <w:pStyle w:val="TextBody"/>
        <w:bidi w:val="0"/>
        <w:spacing w:lineRule="auto" w:line="288" w:before="120" w:after="120"/>
        <w:ind w:left="0" w:right="0" w:firstLine="4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(a) To the extent applicable, it is intended that this Plan and any grants made hereunder comply with the provisions of Section 409A of the Code, so that the income inclusion provisions of Section 409A(a)(1) of the Code do not apply to the Participants. This Plan and any grants made hereunder will be administered in a manner consistent with this intent. Any reference in this Plan to Section 409A of the Code will also include any regulations or any other formal guidance promulgated with respect to such section by the U.S. Department of the Treasury or the Internal Revenue Service. </w:t>
      </w:r>
    </w:p>
    <w:p>
      <w:pPr>
        <w:pStyle w:val="TextBody"/>
        <w:bidi w:val="0"/>
        <w:spacing w:lineRule="auto" w:line="288" w:before="120" w:after="120"/>
        <w:ind w:left="0" w:right="0" w:firstLine="4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(b) Neither a Participant nor any of a Participant’s creditors or beneficiaries will have the right to subject any deferred compensation (within the meaning of Section 409A of the Code) payable under this Plan and grants hereunder to any anticipation, alienation, sale, transfer, assignment, pledge, encumbrance, attachment or garnishment. Except as permitted under Section 409A of the Code, any deferred compensation (within the meaning of Section 409A of the Code) payable to a Participant or for a Participant’s benefit under this Plan and grants hereunder may not be reduced by, or offset against, any amount owed by a Participant to the Company or any of its Subsidiaries. </w:t>
      </w:r>
    </w:p>
    <w:p>
      <w:pPr>
        <w:pStyle w:val="TextBody"/>
        <w:bidi w:val="0"/>
        <w:spacing w:lineRule="auto" w:line="288" w:before="120" w:after="120"/>
        <w:ind w:left="0" w:right="0" w:firstLine="4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(c) If, at the time of a Participant’s separation from service (within the meaning of Section 409A of the Code), (i) the Participant will be a specified employee (within the meaning of Section 409A of the Code and using the identification methodology selected by the Company from time to time) and (ii) the Company makes a good faith determination that an amount payable hereunder constitutes deferred compensation (within the meaning of Section 409A of the Code) the payment of which is required to be delayed pursuant to the six-month delay rule set forth in Section 409A of the Code in order to avoid taxes or penalties under Section 409A of the Code, then the Company will not pay such amount on the otherwise scheduled payment date but will instead pay it, without interest, on the tenth business day of the seventh month after such separation from service. </w:t>
      </w:r>
    </w:p>
    <w:p>
      <w:pPr>
        <w:pStyle w:val="TextBody"/>
        <w:bidi w:val="0"/>
        <w:spacing w:lineRule="auto" w:line="288" w:before="120" w:after="120"/>
        <w:ind w:left="0" w:right="0" w:firstLine="4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(d) Solely with respect to any award that constitutes nonqualified deferred compensation subject to Section 409A of the Code and that is payable on account of a Change in Control (including any installments or stream of payments that are accelerated on account of a Change in Control), a Change in Control shall occur only if such event also constitutes a “change in the ownership,” “change in effective control,” and/or a “change in the ownership of a substantial portion of assets” of the Company as those terms are defined under Treasury Regulation §1.409A-3(i)(5), but only to the extent necessary to establish a time and form of payment that complies with Section 409A of the Code, without altering the definition of Change in Control for any purpose in respect of such award. </w:t>
      </w:r>
    </w:p>
    <w:p>
      <w:pPr>
        <w:pStyle w:val="TextBody"/>
        <w:bidi w:val="0"/>
        <w:spacing w:lineRule="auto" w:line="288" w:before="120" w:after="120"/>
        <w:ind w:left="0" w:right="0" w:firstLine="4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(e) Notwithstanding any provision of this Plan and grants hereunder to the contrary, in light of the uncertainty with respect to the proper application of Section 409A of the Code, the Company reserves the right to make amendments to this Plan and grants hereunder as the Company deems necessary or desirable to avoid the imposition of taxes or penalties under Section 409A of the Code. In any case, a Participant will be solely responsible and liable for the satisfaction of all taxes and penalties that may be imposed on a Participant or for a Participant’s account in connection with this Plan and grants hereunder (including any taxes and penalties under Section 409A of the Code), and neither the Company nor any of its affiliates will have any obligation to indemnify or otherwise hold a Participant harmless from any or all of such taxes or penalties. </w:t>
      </w:r>
    </w:p>
    <w:p>
      <w:pPr>
        <w:pStyle w:val="TextBody"/>
        <w:bidi w:val="0"/>
        <w:spacing w:lineRule="auto" w:line="26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INNVENTURE, INC. </w:t>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685"/>
                <wp:effectExtent l="0" t="0" r="0" b="0"/>
                <wp:wrapNone/>
                <wp:docPr id="152" name="Frame1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79.0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2024 EQUITY AND INCENTIVE COMPENSATION PLAN </w:t>
      </w:r>
    </w:p>
    <w:p>
      <w:pPr>
        <w:pStyle w:val="TextBody"/>
        <w:bidi w:val="0"/>
        <w:spacing w:lineRule="auto" w:line="288" w:before="120" w:after="120"/>
        <w:ind w:left="0" w:right="0" w:firstLine="400"/>
        <w:jc w:val="left"/>
        <w:rPr>
          <w:shd w:fill="FFFFFF" w:val="clear"/>
        </w:rPr>
      </w:pPr>
      <w:r>
        <w:rPr>
          <w:rFonts w:ascii="Times New Roman;serif" w:hAnsi="Times New Roman;serif"/>
          <w:b w:val="false"/>
          <w:color w:val="000000"/>
          <w:sz w:val="20"/>
          <w:shd w:fill="FFFFFF" w:val="clear"/>
        </w:rPr>
        <w:t>18. </w:t>
      </w:r>
      <w:r>
        <w:rPr>
          <w:rFonts w:ascii="Times New Roman;serif" w:hAnsi="Times New Roman;serif"/>
          <w:b/>
          <w:color w:val="000000"/>
          <w:sz w:val="20"/>
          <w:shd w:fill="FFFFFF" w:val="clear"/>
        </w:rPr>
        <w:t>Amendments.</w:t>
      </w:r>
      <w:r>
        <w:rPr>
          <w:color w:val="000000"/>
          <w:shd w:fill="FFFFFF" w:val="clear"/>
        </w:rPr>
        <w:t> </w:t>
      </w:r>
    </w:p>
    <w:p>
      <w:pPr>
        <w:pStyle w:val="TextBody"/>
        <w:bidi w:val="0"/>
        <w:spacing w:lineRule="auto" w:line="288" w:before="120" w:after="120"/>
        <w:ind w:left="0" w:right="0" w:firstLine="400"/>
        <w:jc w:val="both"/>
        <w:rPr>
          <w:shd w:fill="FFFFFF" w:val="clear"/>
        </w:rPr>
      </w:pPr>
      <w:r>
        <w:rPr>
          <w:rFonts w:ascii="Times New Roman;serif" w:hAnsi="Times New Roman;serif"/>
          <w:b w:val="false"/>
          <w:color w:val="000000"/>
          <w:sz w:val="20"/>
          <w:shd w:fill="FFFFFF" w:val="clear"/>
        </w:rPr>
        <w:t xml:space="preserve">(a) The Board may at any time and from time to time amend this Plan in whole or in part; </w:t>
      </w:r>
      <w:r>
        <w:rPr>
          <w:rFonts w:ascii="Times New Roman;serif" w:hAnsi="Times New Roman;serif"/>
          <w:b w:val="false"/>
          <w:color w:val="000000"/>
          <w:sz w:val="20"/>
          <w:u w:val="single"/>
          <w:shd w:fill="FFFFFF" w:val="clear"/>
        </w:rPr>
        <w:t>provided</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u w:val="single"/>
          <w:shd w:fill="FFFFFF" w:val="clear"/>
        </w:rPr>
        <w:t>however</w:t>
      </w:r>
      <w:r>
        <w:rPr>
          <w:rFonts w:ascii="Times New Roman;serif" w:hAnsi="Times New Roman;serif"/>
          <w:b w:val="false"/>
          <w:color w:val="000000"/>
          <w:sz w:val="20"/>
          <w:shd w:fill="FFFFFF" w:val="clear"/>
        </w:rPr>
        <w:t xml:space="preserve">, that if an amendment to this Plan, for purposes of applicable stock exchange rules and except as permitted under </w:t>
      </w:r>
      <w:r>
        <w:rPr>
          <w:rFonts w:ascii="Times New Roman;serif" w:hAnsi="Times New Roman;serif"/>
          <w:b/>
          <w:color w:val="000000"/>
          <w:sz w:val="20"/>
          <w:u w:val="single"/>
          <w:shd w:fill="FFFFFF" w:val="clear"/>
        </w:rPr>
        <w:t>Section 11</w:t>
      </w:r>
      <w:r>
        <w:rPr>
          <w:color w:val="000000"/>
          <w:shd w:fill="FFFFFF" w:val="clear"/>
        </w:rPr>
        <w:t xml:space="preserve"> </w:t>
      </w:r>
      <w:r>
        <w:rPr>
          <w:rFonts w:ascii="Times New Roman;serif" w:hAnsi="Times New Roman;serif"/>
          <w:b w:val="false"/>
          <w:color w:val="000000"/>
          <w:sz w:val="20"/>
          <w:shd w:fill="FFFFFF" w:val="clear"/>
        </w:rPr>
        <w:t xml:space="preserve">of this Plan, (i) would materially increase the benefits accruing to Participants under this Plan, (ii) would materially increase the number of securities which may be issued under this Plan, (iii) would materially modify the requirements for participation in this Plan, or (iv) must otherwise be approved by the Stockholders in order to comply with applicable law or the rules of the </w:t>
      </w:r>
      <w:r>
        <w:rPr>
          <w:rFonts w:ascii="Times New Roman;serif" w:hAnsi="Times New Roman;serif"/>
          <w:b/>
          <w:color w:val="000000"/>
          <w:sz w:val="20"/>
          <w:shd w:fill="FFFFFF" w:val="clear"/>
        </w:rPr>
        <w:t>[Nasdaq Stock Market]</w:t>
      </w:r>
      <w:r>
        <w:rPr>
          <w:color w:val="000000"/>
          <w:shd w:fill="FFFFFF" w:val="clear"/>
        </w:rPr>
        <w:t xml:space="preserve"> </w:t>
      </w:r>
      <w:r>
        <w:rPr>
          <w:rFonts w:ascii="Times New Roman;serif" w:hAnsi="Times New Roman;serif"/>
          <w:b w:val="false"/>
          <w:color w:val="000000"/>
          <w:sz w:val="20"/>
          <w:shd w:fill="FFFFFF" w:val="clear"/>
        </w:rPr>
        <w:t xml:space="preserve">or, if the Common Stock is not traded on the </w:t>
      </w:r>
      <w:r>
        <w:rPr>
          <w:rFonts w:ascii="Times New Roman;serif" w:hAnsi="Times New Roman;serif"/>
          <w:b/>
          <w:color w:val="000000"/>
          <w:sz w:val="20"/>
          <w:shd w:fill="FFFFFF" w:val="clear"/>
        </w:rPr>
        <w:t>[Nasdaq Stock Market]</w:t>
      </w:r>
      <w:r>
        <w:rPr>
          <w:rFonts w:ascii="Times New Roman;serif" w:hAnsi="Times New Roman;serif"/>
          <w:b w:val="false"/>
          <w:color w:val="000000"/>
          <w:sz w:val="20"/>
          <w:shd w:fill="FFFFFF" w:val="clear"/>
        </w:rPr>
        <w:t xml:space="preserve">, the principal national securities exchange upon which the Common Stock is traded or quoted, all as determined by the Board, then, such amendment will be subject to Stockholder approval and will not be effective unless and until such approval has been obtained. </w:t>
      </w:r>
    </w:p>
    <w:p>
      <w:pPr>
        <w:pStyle w:val="TextBody"/>
        <w:bidi w:val="0"/>
        <w:spacing w:lineRule="auto" w:line="288" w:before="120" w:after="120"/>
        <w:ind w:left="0" w:right="0" w:firstLine="400"/>
        <w:jc w:val="both"/>
        <w:rPr>
          <w:shd w:fill="FFFFFF" w:val="clear"/>
        </w:rPr>
      </w:pPr>
      <w:r>
        <w:rPr>
          <w:rFonts w:ascii="Times New Roman;serif" w:hAnsi="Times New Roman;serif"/>
          <w:b w:val="false"/>
          <w:color w:val="000000"/>
          <w:sz w:val="20"/>
          <w:shd w:fill="FFFFFF" w:val="clear"/>
        </w:rPr>
        <w:t xml:space="preserve">(b) Except in connection with a corporate transaction or event described in </w:t>
      </w:r>
      <w:r>
        <w:rPr>
          <w:rFonts w:ascii="Times New Roman;serif" w:hAnsi="Times New Roman;serif"/>
          <w:b/>
          <w:color w:val="000000"/>
          <w:sz w:val="20"/>
          <w:u w:val="single"/>
          <w:shd w:fill="FFFFFF" w:val="clear"/>
        </w:rPr>
        <w:t>Section 11</w:t>
      </w:r>
      <w:r>
        <w:rPr>
          <w:color w:val="000000"/>
          <w:shd w:fill="FFFFFF" w:val="clear"/>
        </w:rPr>
        <w:t xml:space="preserve"> </w:t>
      </w:r>
      <w:r>
        <w:rPr>
          <w:rFonts w:ascii="Times New Roman;serif" w:hAnsi="Times New Roman;serif"/>
          <w:b w:val="false"/>
          <w:color w:val="000000"/>
          <w:sz w:val="20"/>
          <w:shd w:fill="FFFFFF" w:val="clear"/>
        </w:rPr>
        <w:t xml:space="preserve">of this Plan or in connection with a Change in Control, the terms of outstanding awards may not be amended to reduce the Option Price of outstanding Option Rights or the Base Price of outstanding Appreciation Rights, or cancel outstanding “underwater” Option Rights or Appreciation Rights (including following a Participant’s voluntary surrender of “underwater” Option Rights or Appreciation Rights) in exchange for cash, other awards or Option Rights or Appreciation Rights with an Option Price or Base Price, as applicable, that is less than the Option Price of the original Option Rights or Base Price of the original Appreciation Rights, as applicable, without Stockholder approval. This </w:t>
      </w:r>
      <w:r>
        <w:rPr>
          <w:rFonts w:ascii="Times New Roman;serif" w:hAnsi="Times New Roman;serif"/>
          <w:b/>
          <w:color w:val="000000"/>
          <w:sz w:val="20"/>
          <w:u w:val="single"/>
          <w:shd w:fill="FFFFFF" w:val="clear"/>
        </w:rPr>
        <w:t>Section 18(b)</w:t>
      </w:r>
      <w:r>
        <w:rPr>
          <w:color w:val="000000"/>
          <w:shd w:fill="FFFFFF" w:val="clear"/>
        </w:rPr>
        <w:t xml:space="preserve"> </w:t>
      </w:r>
      <w:r>
        <w:rPr>
          <w:rFonts w:ascii="Times New Roman;serif" w:hAnsi="Times New Roman;serif"/>
          <w:b w:val="false"/>
          <w:color w:val="000000"/>
          <w:sz w:val="20"/>
          <w:shd w:fill="FFFFFF" w:val="clear"/>
        </w:rPr>
        <w:t xml:space="preserve">is intended to prohibit the repricing of “underwater” Option Rights and Appreciation Rights and will not be construed to prohibit the adjustments provided for in </w:t>
      </w:r>
      <w:r>
        <w:rPr>
          <w:rFonts w:ascii="Times New Roman;serif" w:hAnsi="Times New Roman;serif"/>
          <w:b/>
          <w:color w:val="000000"/>
          <w:sz w:val="20"/>
          <w:u w:val="single"/>
          <w:shd w:fill="FFFFFF" w:val="clear"/>
        </w:rPr>
        <w:t>Section 11</w:t>
      </w:r>
      <w:r>
        <w:rPr>
          <w:color w:val="000000"/>
          <w:shd w:fill="FFFFFF" w:val="clear"/>
        </w:rPr>
        <w:t xml:space="preserve"> </w:t>
      </w:r>
      <w:r>
        <w:rPr>
          <w:rFonts w:ascii="Times New Roman;serif" w:hAnsi="Times New Roman;serif"/>
          <w:b w:val="false"/>
          <w:color w:val="000000"/>
          <w:sz w:val="20"/>
          <w:shd w:fill="FFFFFF" w:val="clear"/>
        </w:rPr>
        <w:t xml:space="preserve">of this Plan. Notwithstanding any provision of this Plan to the contrary, this </w:t>
      </w:r>
      <w:r>
        <w:rPr>
          <w:rFonts w:ascii="Times New Roman;serif" w:hAnsi="Times New Roman;serif"/>
          <w:b/>
          <w:color w:val="000000"/>
          <w:sz w:val="20"/>
          <w:u w:val="single"/>
          <w:shd w:fill="FFFFFF" w:val="clear"/>
        </w:rPr>
        <w:t>Section 18(b)</w:t>
      </w:r>
      <w:r>
        <w:rPr>
          <w:color w:val="000000"/>
          <w:shd w:fill="FFFFFF" w:val="clear"/>
        </w:rPr>
        <w:t xml:space="preserve"> </w:t>
      </w:r>
      <w:r>
        <w:rPr>
          <w:rFonts w:ascii="Times New Roman;serif" w:hAnsi="Times New Roman;serif"/>
          <w:b w:val="false"/>
          <w:color w:val="000000"/>
          <w:sz w:val="20"/>
          <w:shd w:fill="FFFFFF" w:val="clear"/>
        </w:rPr>
        <w:t xml:space="preserve">may not be amended without Stockholder approval. </w:t>
      </w:r>
    </w:p>
    <w:p>
      <w:pPr>
        <w:pStyle w:val="TextBody"/>
        <w:bidi w:val="0"/>
        <w:spacing w:lineRule="auto" w:line="288" w:before="120" w:after="120"/>
        <w:ind w:left="0" w:right="0" w:firstLine="400"/>
        <w:jc w:val="both"/>
        <w:rPr>
          <w:shd w:fill="FFFFFF" w:val="clear"/>
        </w:rPr>
      </w:pPr>
      <w:r>
        <w:rPr>
          <w:rFonts w:ascii="Times New Roman;serif" w:hAnsi="Times New Roman;serif"/>
          <w:b w:val="false"/>
          <w:color w:val="000000"/>
          <w:sz w:val="20"/>
          <w:shd w:fill="FFFFFF" w:val="clear"/>
        </w:rPr>
        <w:t xml:space="preserve">(c) If permitted by Section 409A of the Code, but subject to </w:t>
      </w:r>
      <w:r>
        <w:rPr>
          <w:rFonts w:ascii="Times New Roman;serif" w:hAnsi="Times New Roman;serif"/>
          <w:b/>
          <w:color w:val="000000"/>
          <w:sz w:val="20"/>
          <w:u w:val="single"/>
          <w:shd w:fill="FFFFFF" w:val="clear"/>
        </w:rPr>
        <w:t>Section 18(d)</w:t>
      </w:r>
      <w:r>
        <w:rPr>
          <w:rFonts w:ascii="Times New Roman;serif" w:hAnsi="Times New Roman;serif"/>
          <w:b w:val="false"/>
          <w:color w:val="000000"/>
          <w:sz w:val="20"/>
          <w:shd w:fill="FFFFFF" w:val="clear"/>
        </w:rPr>
        <w:t xml:space="preserve">, including in the case of termination of employment or service, or in the case of unforeseeable emergency or other circumstances or in the event of a Change in Control, to the extent a Participant holds an Option Right or Appreciation Right not immediately exercisable in full, or any Restricted Stock as to which the substantial risk of forfeiture or the prohibition or restriction on transfer has not lapsed, or any Restricted Stock Units as to which the Restriction Period has not been completed, or any Cash Incentive Awards, Performance Shares or Performance Units which have not been fully earned, or any dividend equivalents or other awards made pursuant to </w:t>
      </w:r>
      <w:r>
        <w:rPr>
          <w:rFonts w:ascii="Times New Roman;serif" w:hAnsi="Times New Roman;serif"/>
          <w:b/>
          <w:color w:val="000000"/>
          <w:sz w:val="20"/>
          <w:u w:val="single"/>
          <w:shd w:fill="FFFFFF" w:val="clear"/>
        </w:rPr>
        <w:t>Section 9</w:t>
      </w:r>
      <w:r>
        <w:rPr>
          <w:color w:val="000000"/>
          <w:shd w:fill="FFFFFF" w:val="clear"/>
        </w:rPr>
        <w:t xml:space="preserve"> </w:t>
      </w:r>
      <w:r>
        <w:rPr>
          <w:rFonts w:ascii="Times New Roman;serif" w:hAnsi="Times New Roman;serif"/>
          <w:b w:val="false"/>
          <w:color w:val="000000"/>
          <w:sz w:val="20"/>
          <w:shd w:fill="FFFFFF" w:val="clear"/>
        </w:rPr>
        <w:t xml:space="preserve">of this Plan subject to any vesting schedule or transfer restriction, or holds Common Stock subject to any transfer restriction imposed pursuant to </w:t>
      </w:r>
      <w:r>
        <w:rPr>
          <w:rFonts w:ascii="Times New Roman;serif" w:hAnsi="Times New Roman;serif"/>
          <w:b/>
          <w:color w:val="000000"/>
          <w:sz w:val="20"/>
          <w:u w:val="single"/>
          <w:shd w:fill="FFFFFF" w:val="clear"/>
        </w:rPr>
        <w:t>Section 15(b)</w:t>
      </w:r>
      <w:r>
        <w:rPr>
          <w:color w:val="000000"/>
          <w:shd w:fill="FFFFFF" w:val="clear"/>
        </w:rPr>
        <w:t xml:space="preserve"> </w:t>
      </w:r>
      <w:r>
        <w:rPr>
          <w:rFonts w:ascii="Times New Roman;serif" w:hAnsi="Times New Roman;serif"/>
          <w:b w:val="false"/>
          <w:color w:val="000000"/>
          <w:sz w:val="20"/>
          <w:shd w:fill="FFFFFF" w:val="clear"/>
        </w:rPr>
        <w:t xml:space="preserve">of this Plan, the Committee may, in its sole discretion, provide for continued vesting or accelerate the time at which such Option Right, Appreciation Right or other award may vest or be exercised or the time at which such substantial risk of forfeiture or prohibition or restriction on transfer will lapse or the time when such Restriction Period will end or the time at which such Cash Incentive Awards, Performance Shares or Performance Units will be deemed to have been earned or the time when such transfer restriction will terminate or may waive any other limitation or requirement under any such award. </w:t>
      </w:r>
    </w:p>
    <w:p>
      <w:pPr>
        <w:pStyle w:val="TextBody"/>
        <w:bidi w:val="0"/>
        <w:spacing w:lineRule="auto" w:line="288" w:before="120" w:after="120"/>
        <w:ind w:left="0" w:right="0" w:firstLine="400"/>
        <w:jc w:val="both"/>
        <w:rPr>
          <w:shd w:fill="FFFFFF" w:val="clear"/>
        </w:rPr>
      </w:pPr>
      <w:r>
        <w:rPr>
          <w:rFonts w:ascii="Times New Roman;serif" w:hAnsi="Times New Roman;serif"/>
          <w:b w:val="false"/>
          <w:color w:val="000000"/>
          <w:sz w:val="20"/>
          <w:shd w:fill="FFFFFF" w:val="clear"/>
        </w:rPr>
        <w:t xml:space="preserve">(d) Subject to </w:t>
      </w:r>
      <w:r>
        <w:rPr>
          <w:rFonts w:ascii="Times New Roman;serif" w:hAnsi="Times New Roman;serif"/>
          <w:b/>
          <w:color w:val="000000"/>
          <w:sz w:val="20"/>
          <w:u w:val="single"/>
          <w:shd w:fill="FFFFFF" w:val="clear"/>
        </w:rPr>
        <w:t>Section 18(b)</w:t>
      </w:r>
      <w:r>
        <w:rPr>
          <w:color w:val="000000"/>
          <w:shd w:fill="FFFFFF" w:val="clear"/>
        </w:rPr>
        <w:t xml:space="preserve"> </w:t>
      </w:r>
      <w:r>
        <w:rPr>
          <w:rFonts w:ascii="Times New Roman;serif" w:hAnsi="Times New Roman;serif"/>
          <w:b w:val="false"/>
          <w:color w:val="000000"/>
          <w:sz w:val="20"/>
          <w:shd w:fill="FFFFFF" w:val="clear"/>
        </w:rPr>
        <w:t xml:space="preserve">of this Plan, the Committee may amend the terms of any award theretofore granted under this Plan prospectively or retroactively. Except for adjustments made pursuant to </w:t>
      </w:r>
      <w:r>
        <w:rPr>
          <w:rFonts w:ascii="Times New Roman;serif" w:hAnsi="Times New Roman;serif"/>
          <w:b/>
          <w:color w:val="000000"/>
          <w:sz w:val="20"/>
          <w:u w:val="single"/>
          <w:shd w:fill="FFFFFF" w:val="clear"/>
        </w:rPr>
        <w:t>Section 11</w:t>
      </w:r>
      <w:r>
        <w:rPr>
          <w:color w:val="000000"/>
          <w:shd w:fill="FFFFFF" w:val="clear"/>
        </w:rPr>
        <w:t xml:space="preserve"> </w:t>
      </w:r>
      <w:r>
        <w:rPr>
          <w:rFonts w:ascii="Times New Roman;serif" w:hAnsi="Times New Roman;serif"/>
          <w:b w:val="false"/>
          <w:color w:val="000000"/>
          <w:sz w:val="20"/>
          <w:shd w:fill="FFFFFF" w:val="clear"/>
        </w:rPr>
        <w:t xml:space="preserve">of this Plan, no such amendment will materially impair the rights of any Participant without his or her consent. The Board may, in its discretion, terminate this Plan at any time. Termination of this Plan will not affect the rights of Participants or their successors under any awards outstanding hereunder and not exercised in full on the date of termination. </w:t>
      </w:r>
    </w:p>
    <w:p>
      <w:pPr>
        <w:pStyle w:val="TextBody"/>
        <w:bidi w:val="0"/>
        <w:spacing w:lineRule="auto" w:line="288" w:before="120" w:after="120"/>
        <w:ind w:left="0" w:right="0" w:firstLine="400"/>
        <w:jc w:val="both"/>
        <w:rPr>
          <w:shd w:fill="FFFFFF" w:val="clear"/>
        </w:rPr>
      </w:pPr>
      <w:r>
        <w:rPr>
          <w:rFonts w:ascii="Times New Roman;serif" w:hAnsi="Times New Roman;serif"/>
          <w:b w:val="false"/>
          <w:color w:val="000000"/>
          <w:sz w:val="20"/>
          <w:shd w:fill="FFFFFF" w:val="clear"/>
        </w:rPr>
        <w:t>19. </w:t>
      </w:r>
      <w:r>
        <w:rPr>
          <w:rFonts w:ascii="Times New Roman;serif" w:hAnsi="Times New Roman;serif"/>
          <w:b/>
          <w:color w:val="000000"/>
          <w:sz w:val="20"/>
          <w:shd w:fill="FFFFFF" w:val="clear"/>
        </w:rPr>
        <w:t>Governing Law.</w:t>
      </w:r>
      <w:r>
        <w:rPr>
          <w:color w:val="000000"/>
          <w:shd w:fill="FFFFFF" w:val="clear"/>
        </w:rPr>
        <w:t xml:space="preserve"> </w:t>
      </w:r>
      <w:r>
        <w:rPr>
          <w:rFonts w:ascii="Times New Roman;serif" w:hAnsi="Times New Roman;serif"/>
          <w:b w:val="false"/>
          <w:color w:val="000000"/>
          <w:sz w:val="20"/>
          <w:shd w:fill="FFFFFF" w:val="clear"/>
        </w:rPr>
        <w:t xml:space="preserve">This Plan and all grants and awards and actions taken hereunder will be governed by and construed in accordance with the internal substantive laws of the State of Delaware. </w:t>
      </w:r>
    </w:p>
    <w:p>
      <w:pPr>
        <w:pStyle w:val="TextBody"/>
        <w:bidi w:val="0"/>
        <w:spacing w:lineRule="auto" w:line="288" w:before="120" w:after="120"/>
        <w:ind w:left="0" w:right="0" w:firstLine="400"/>
        <w:jc w:val="both"/>
        <w:rPr>
          <w:shd w:fill="FFFFFF" w:val="clear"/>
        </w:rPr>
      </w:pPr>
      <w:r>
        <w:rPr>
          <w:rFonts w:ascii="Times New Roman;serif" w:hAnsi="Times New Roman;serif"/>
          <w:b w:val="false"/>
          <w:color w:val="000000"/>
          <w:sz w:val="20"/>
          <w:shd w:fill="FFFFFF" w:val="clear"/>
        </w:rPr>
        <w:t>20. </w:t>
      </w:r>
      <w:r>
        <w:rPr>
          <w:rFonts w:ascii="Times New Roman;serif" w:hAnsi="Times New Roman;serif"/>
          <w:b/>
          <w:color w:val="000000"/>
          <w:sz w:val="20"/>
          <w:shd w:fill="FFFFFF" w:val="clear"/>
        </w:rPr>
        <w:t>Effective Date/Termination.</w:t>
      </w:r>
      <w:r>
        <w:rPr>
          <w:color w:val="000000"/>
          <w:shd w:fill="FFFFFF" w:val="clear"/>
        </w:rPr>
        <w:t xml:space="preserve"> </w:t>
      </w:r>
      <w:r>
        <w:rPr>
          <w:rFonts w:ascii="Times New Roman;serif" w:hAnsi="Times New Roman;serif"/>
          <w:b w:val="false"/>
          <w:color w:val="000000"/>
          <w:sz w:val="20"/>
          <w:shd w:fill="FFFFFF" w:val="clear"/>
        </w:rPr>
        <w:t xml:space="preserve">This Plan will be effective as of the Effective Date. No grant will be made under this Plan on or after the tenth anniversary of the Effective Date, but all grants made prior to such date will continue in effect thereafter subject to the terms thereof and of this Plan. </w:t>
      </w:r>
    </w:p>
    <w:p>
      <w:pPr>
        <w:pStyle w:val="TextBody"/>
        <w:bidi w:val="0"/>
        <w:spacing w:lineRule="auto" w:line="288" w:before="120" w:after="120"/>
        <w:ind w:left="0" w:right="0" w:firstLine="400"/>
        <w:jc w:val="left"/>
        <w:rPr>
          <w:shd w:fill="FFFFFF" w:val="clear"/>
        </w:rPr>
      </w:pPr>
      <w:r>
        <w:rPr>
          <w:rFonts w:ascii="Times New Roman;serif" w:hAnsi="Times New Roman;serif"/>
          <w:b w:val="false"/>
          <w:color w:val="000000"/>
          <w:sz w:val="20"/>
          <w:shd w:fill="FFFFFF" w:val="clear"/>
        </w:rPr>
        <w:t>21. </w:t>
      </w:r>
      <w:r>
        <w:rPr>
          <w:rFonts w:ascii="Times New Roman;serif" w:hAnsi="Times New Roman;serif"/>
          <w:b/>
          <w:color w:val="000000"/>
          <w:sz w:val="20"/>
          <w:shd w:fill="FFFFFF" w:val="clear"/>
        </w:rPr>
        <w:t>Miscellaneous Provisions.</w:t>
      </w:r>
      <w:r>
        <w:rPr>
          <w:color w:val="000000"/>
          <w:shd w:fill="FFFFFF" w:val="clear"/>
        </w:rPr>
        <w:t> </w:t>
      </w:r>
    </w:p>
    <w:p>
      <w:pPr>
        <w:pStyle w:val="TextBody"/>
        <w:bidi w:val="0"/>
        <w:spacing w:lineRule="auto" w:line="288" w:before="120" w:after="120"/>
        <w:ind w:left="0" w:right="0" w:firstLine="4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(a) The Company will not be required to issue any fractional shares of Common Stock pursuant to this Plan. The Committee may provide for the elimination of fractions or for the settlement of fractions in cash. </w:t>
      </w:r>
    </w:p>
    <w:p>
      <w:pPr>
        <w:pStyle w:val="TextBody"/>
        <w:bidi w:val="0"/>
        <w:spacing w:lineRule="auto" w:line="288" w:before="120" w:after="120"/>
        <w:ind w:left="0" w:right="0" w:firstLine="4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(b) This Plan will not confer upon any Participant any right with respect to continuance of employment or other service with the Company or any Subsidiary, nor will it interfere in any way with any right the Company or any Subsidiary would otherwise have to terminate such Participant’s employment or other service at any time. </w:t>
      </w:r>
    </w:p>
    <w:p>
      <w:pPr>
        <w:pStyle w:val="TextBody"/>
        <w:bidi w:val="0"/>
        <w:spacing w:lineRule="auto" w:line="26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INNVENTURE, INC. </w:t>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685"/>
                <wp:effectExtent l="0" t="0" r="0" b="0"/>
                <wp:wrapNone/>
                <wp:docPr id="153" name="Frame1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79.0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2024 EQUITY AND INCENTIVE COMPENSATION PLAN </w:t>
      </w:r>
    </w:p>
    <w:p>
      <w:pPr>
        <w:pStyle w:val="TextBody"/>
        <w:bidi w:val="0"/>
        <w:spacing w:lineRule="auto" w:line="288" w:before="120" w:after="120"/>
        <w:ind w:left="0" w:right="0" w:firstLine="400"/>
        <w:jc w:val="both"/>
        <w:rPr>
          <w:shd w:fill="FFFFFF" w:val="clear"/>
        </w:rPr>
      </w:pPr>
      <w:r>
        <w:rPr>
          <w:rFonts w:ascii="Times New Roman;serif" w:hAnsi="Times New Roman;serif"/>
          <w:b w:val="false"/>
          <w:color w:val="000000"/>
          <w:sz w:val="20"/>
          <w:shd w:fill="FFFFFF" w:val="clear"/>
        </w:rPr>
        <w:t xml:space="preserve">(c) Except with respect to </w:t>
      </w:r>
      <w:r>
        <w:rPr>
          <w:rFonts w:ascii="Times New Roman;serif" w:hAnsi="Times New Roman;serif"/>
          <w:b/>
          <w:color w:val="000000"/>
          <w:sz w:val="20"/>
          <w:u w:val="single"/>
          <w:shd w:fill="FFFFFF" w:val="clear"/>
        </w:rPr>
        <w:t>Section 21(e)</w:t>
      </w:r>
      <w:r>
        <w:rPr>
          <w:color w:val="000000"/>
          <w:shd w:fill="FFFFFF" w:val="clear"/>
        </w:rPr>
        <w:t xml:space="preserve"> </w:t>
      </w:r>
      <w:r>
        <w:rPr>
          <w:rFonts w:ascii="Times New Roman;serif" w:hAnsi="Times New Roman;serif"/>
          <w:b w:val="false"/>
          <w:color w:val="000000"/>
          <w:sz w:val="20"/>
          <w:shd w:fill="FFFFFF" w:val="clear"/>
        </w:rPr>
        <w:t xml:space="preserve">of this Plan, to the extent that any provision of this Plan would prevent any Option Right that was intended to qualify as an Incentive Stock Option from qualifying as such, that provision will be null and void with respect to such Option Right. Such provision, however, will remain in effect for other Option Rights and there will be no further effect on any provision of this Plan. </w:t>
      </w:r>
    </w:p>
    <w:p>
      <w:pPr>
        <w:pStyle w:val="TextBody"/>
        <w:bidi w:val="0"/>
        <w:spacing w:lineRule="auto" w:line="288" w:before="120" w:after="120"/>
        <w:ind w:left="0" w:right="0" w:firstLine="4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(d) No award under this Plan may be exercised by the holder thereof if such exercise, and the receipt of cash or shares thereunder, would be, in the opinion of counsel selected by the Company, contrary to law or the regulations of any duly constituted authority having jurisdiction over this Plan. </w:t>
      </w:r>
    </w:p>
    <w:p>
      <w:pPr>
        <w:pStyle w:val="TextBody"/>
        <w:bidi w:val="0"/>
        <w:spacing w:lineRule="auto" w:line="288" w:before="120" w:after="120"/>
        <w:ind w:left="0" w:right="0" w:firstLine="4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(e) Subject to Section 409A of the Code, absence on leave approved by a duly constituted officer of the Company or any of its Subsidiaries will not be considered interruption or termination of service of any employee for any purposes of this Plan or awards granted hereunder. </w:t>
      </w:r>
    </w:p>
    <w:p>
      <w:pPr>
        <w:pStyle w:val="TextBody"/>
        <w:bidi w:val="0"/>
        <w:spacing w:lineRule="auto" w:line="288" w:before="120" w:after="120"/>
        <w:ind w:left="0" w:right="0" w:firstLine="4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(f) No Participant will have any rights as a Stockholder with respect to any Common Stock subject to awards granted to him or her under this Plan prior to the date as of which he or she is actually recorded as the holder of such Common Stock upon the share records of the Company. </w:t>
      </w:r>
    </w:p>
    <w:p>
      <w:pPr>
        <w:pStyle w:val="TextBody"/>
        <w:bidi w:val="0"/>
        <w:spacing w:lineRule="auto" w:line="288" w:before="120" w:after="120"/>
        <w:ind w:left="0" w:right="0" w:firstLine="4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(g) The Committee may condition the grant of any award or combination of awards authorized under this Plan on the surrender or deferral by the Participant of his or her right to receive a cash bonus or other compensation otherwise payable by the Company or a Subsidiary to the Participant. </w:t>
      </w:r>
    </w:p>
    <w:p>
      <w:pPr>
        <w:pStyle w:val="TextBody"/>
        <w:bidi w:val="0"/>
        <w:spacing w:lineRule="auto" w:line="288" w:before="120" w:after="120"/>
        <w:ind w:left="0" w:right="0" w:firstLine="4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(h) Except with respect to Option Rights and Appreciation Rights, the Committee may permit Participants to elect to defer the issuance of Common Stock or cash payments under this Plan pursuant to such rules, procedures or programs as it may establish for purposes of this Plan and which are intended to comply with the requirements of Section 409A of the Code. The Committee also may provide that deferred issuances and settlements include the crediting of dividend equivalents or interest on the deferral amounts. </w:t>
      </w:r>
    </w:p>
    <w:p>
      <w:pPr>
        <w:pStyle w:val="TextBody"/>
        <w:bidi w:val="0"/>
        <w:spacing w:lineRule="auto" w:line="288" w:before="120" w:after="120"/>
        <w:ind w:left="0" w:right="0" w:firstLine="4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(i) If any provision of this Plan is or becomes invalid, illegal or unenforceable in any jurisdiction, or would disqualify this Plan or any award under any law deemed applicable by the Committee, such provision will be construed or deemed amended or limited in scope to conform to applicable laws or, in the discretion of the Committee, it will be stricken and the remainder of this Plan will remain in full force and effect. Notwithstanding anything in this Plan or an Evidence of Award to the contrary, nothing in this Plan or in an Evidence of Award prevents a Participant from providing, without prior notice to the Company, information to governmental authorities regarding possible legal violations or otherwise testifying or participating in any investigation or proceeding by any governmental authorities regarding possible legal violations, and for purpose of clarity a Participant is not prohibited from providing information voluntarily to the Securities and Exchange Commission pursuant to Section 21F of the Exchange Act. </w:t>
      </w:r>
    </w:p>
    <w:p>
      <w:pPr>
        <w:pStyle w:val="TextBody"/>
        <w:bidi w:val="0"/>
        <w:spacing w:lineRule="auto" w:line="288" w:before="120" w:after="120"/>
        <w:ind w:left="0" w:right="0" w:firstLine="400"/>
        <w:jc w:val="both"/>
        <w:rPr>
          <w:shd w:fill="FFFFFF" w:val="clear"/>
        </w:rPr>
      </w:pPr>
      <w:r>
        <w:rPr>
          <w:rFonts w:ascii="Times New Roman;serif" w:hAnsi="Times New Roman;serif"/>
          <w:b w:val="false"/>
          <w:color w:val="000000"/>
          <w:sz w:val="20"/>
          <w:shd w:fill="FFFFFF" w:val="clear"/>
        </w:rPr>
        <w:t>22. </w:t>
      </w:r>
      <w:r>
        <w:rPr>
          <w:rFonts w:ascii="Times New Roman;serif" w:hAnsi="Times New Roman;serif"/>
          <w:b/>
          <w:color w:val="000000"/>
          <w:sz w:val="20"/>
          <w:shd w:fill="FFFFFF" w:val="clear"/>
        </w:rPr>
        <w:t>Stock-Based Awards in Substitution for Awards Granted by Another Company.</w:t>
      </w:r>
      <w:r>
        <w:rPr>
          <w:color w:val="000000"/>
          <w:shd w:fill="FFFFFF" w:val="clear"/>
        </w:rPr>
        <w:t xml:space="preserve"> </w:t>
      </w:r>
      <w:r>
        <w:rPr>
          <w:rFonts w:ascii="Times New Roman;serif" w:hAnsi="Times New Roman;serif"/>
          <w:b w:val="false"/>
          <w:color w:val="000000"/>
          <w:sz w:val="20"/>
          <w:shd w:fill="FFFFFF" w:val="clear"/>
        </w:rPr>
        <w:t xml:space="preserve">Notwithstanding anything in this Plan to the contrary: </w:t>
      </w:r>
    </w:p>
    <w:p>
      <w:pPr>
        <w:pStyle w:val="TextBody"/>
        <w:bidi w:val="0"/>
        <w:spacing w:lineRule="auto" w:line="288" w:before="120" w:after="120"/>
        <w:ind w:left="0" w:right="0" w:firstLine="4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(a) Awards may be granted under this Plan in substitution for or in conversion of, or in connection with an assumption of, stock options, stock appreciation rights, restricted stock, restricted stock units or other stock or stock-based awards held by awardees of an entity engaging in a corporate acquisition or merger transaction with the Company or any Subsidiary. Any conversion, substitution or assumption will be effective as of the close of the merger or acquisition, and, to the extent applicable, will be conducted in a manner that complies with Section 409A of the Code. The awards so granted may reflect the original terms of the awards being assumed or substituted or converted for and need not comply with other specific terms of this Plan, and may account for Common Stock substituted for the securities covered by the original awards and the number of shares subject to the original awards, as well as any exercise or purchase prices applicable to the original awards, adjusted to account for differences in stock prices in connection with the transaction. </w:t>
      </w:r>
    </w:p>
    <w:p>
      <w:pPr>
        <w:pStyle w:val="TextBody"/>
        <w:bidi w:val="0"/>
        <w:spacing w:lineRule="auto" w:line="288" w:before="120" w:after="120"/>
        <w:ind w:left="0" w:right="0" w:firstLine="4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(b) In the event that a company acquired by the Company or any Subsidiary or with which the Company or any Subsidiary merges has shares available under a pre-existing plan previously approved by shareholders and not adopted in contemplation of such acquisition or merger, the shares available for grant pursuant to the terms of such plan (as adjusted, to the extent appropriate, to reflect such acquisition or merger) may be used for awards made after such acquisition or merger under this Plan; provided, however, that awards using such available shares may not be made after the date awards or grants could have been made under the terms of the pre-existing plan absent the acquisition or merger, and may only be made to individuals who were not employees or directors of the Company or any Subsidiary prior to such acquisition or merger. </w:t>
      </w:r>
    </w:p>
    <w:p>
      <w:pPr>
        <w:pStyle w:val="TextBody"/>
        <w:bidi w:val="0"/>
        <w:spacing w:lineRule="auto" w:line="26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INNVENTURE, INC. </w:t>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46685"/>
                <wp:effectExtent l="0" t="0" r="0" b="0"/>
                <wp:wrapNone/>
                <wp:docPr id="154" name="Frame1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79.0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2024 EQUITY AND INCENTIVE COMPENSATION PLAN </w:t>
      </w:r>
    </w:p>
    <w:p>
      <w:pPr>
        <w:pStyle w:val="TextBody"/>
        <w:bidi w:val="0"/>
        <w:spacing w:lineRule="auto" w:line="288" w:before="120" w:after="120"/>
        <w:ind w:left="0" w:right="0" w:firstLine="400"/>
        <w:jc w:val="both"/>
        <w:rPr>
          <w:shd w:fill="FFFFFF" w:val="clear"/>
        </w:rPr>
      </w:pPr>
      <w:r>
        <w:rPr>
          <w:rFonts w:ascii="Times New Roman;serif" w:hAnsi="Times New Roman;serif"/>
          <w:b w:val="false"/>
          <w:color w:val="000000"/>
          <w:sz w:val="20"/>
          <w:shd w:fill="FFFFFF" w:val="clear"/>
        </w:rPr>
        <w:t xml:space="preserve">(c) Any Common Stock that is issued or transferred by, or that is subject to any awards that are granted by, or become obligations of, the Company under </w:t>
      </w:r>
      <w:r>
        <w:rPr>
          <w:rFonts w:ascii="Times New Roman;serif" w:hAnsi="Times New Roman;serif"/>
          <w:b/>
          <w:color w:val="000000"/>
          <w:sz w:val="20"/>
          <w:u w:val="single"/>
          <w:shd w:fill="FFFFFF" w:val="clear"/>
        </w:rPr>
        <w:t>Sections 22(a) or 22(b)</w:t>
      </w:r>
      <w:r>
        <w:rPr>
          <w:color w:val="000000"/>
          <w:shd w:fill="FFFFFF" w:val="clear"/>
        </w:rPr>
        <w:t xml:space="preserve"> </w:t>
      </w:r>
      <w:r>
        <w:rPr>
          <w:rFonts w:ascii="Times New Roman;serif" w:hAnsi="Times New Roman;serif"/>
          <w:b w:val="false"/>
          <w:color w:val="000000"/>
          <w:sz w:val="20"/>
          <w:shd w:fill="FFFFFF" w:val="clear"/>
        </w:rPr>
        <w:t xml:space="preserve">of this Plan will not reduce the shares of Common Stock available for issuance or transfer under this Plan or otherwise count against the limits contained in </w:t>
      </w:r>
      <w:r>
        <w:rPr>
          <w:rFonts w:ascii="Times New Roman;serif" w:hAnsi="Times New Roman;serif"/>
          <w:b/>
          <w:color w:val="000000"/>
          <w:sz w:val="20"/>
          <w:u w:val="single"/>
          <w:shd w:fill="FFFFFF" w:val="clear"/>
        </w:rPr>
        <w:t>Section 3</w:t>
      </w:r>
      <w:r>
        <w:rPr>
          <w:color w:val="000000"/>
          <w:shd w:fill="FFFFFF" w:val="clear"/>
        </w:rPr>
        <w:t xml:space="preserve"> </w:t>
      </w:r>
      <w:r>
        <w:rPr>
          <w:rFonts w:ascii="Times New Roman;serif" w:hAnsi="Times New Roman;serif"/>
          <w:b w:val="false"/>
          <w:color w:val="000000"/>
          <w:sz w:val="20"/>
          <w:shd w:fill="FFFFFF" w:val="clear"/>
        </w:rPr>
        <w:t xml:space="preserve">of this Plan, except as otherwise provided in this Plan. In addition, no shares of Common Stock subject to an award that is granted by, or becomes an obligation of, the Company under </w:t>
      </w:r>
      <w:r>
        <w:rPr>
          <w:rFonts w:ascii="Times New Roman;serif" w:hAnsi="Times New Roman;serif"/>
          <w:b/>
          <w:color w:val="000000"/>
          <w:sz w:val="20"/>
          <w:u w:val="single"/>
          <w:shd w:fill="FFFFFF" w:val="clear"/>
        </w:rPr>
        <w:t>Sections 22(a) or 22(b)</w:t>
      </w:r>
      <w:r>
        <w:rPr>
          <w:color w:val="000000"/>
          <w:shd w:fill="FFFFFF" w:val="clear"/>
        </w:rPr>
        <w:t xml:space="preserve"> </w:t>
      </w:r>
      <w:r>
        <w:rPr>
          <w:rFonts w:ascii="Times New Roman;serif" w:hAnsi="Times New Roman;serif"/>
          <w:b w:val="false"/>
          <w:color w:val="000000"/>
          <w:sz w:val="20"/>
          <w:shd w:fill="FFFFFF" w:val="clear"/>
        </w:rPr>
        <w:t xml:space="preserve">of this Plan, will be added to the aggregate limit contained in </w:t>
      </w:r>
      <w:r>
        <w:rPr>
          <w:rFonts w:ascii="Times New Roman;serif" w:hAnsi="Times New Roman;serif"/>
          <w:b/>
          <w:color w:val="000000"/>
          <w:sz w:val="20"/>
          <w:u w:val="single"/>
          <w:shd w:fill="FFFFFF" w:val="clear"/>
        </w:rPr>
        <w:t>Section 3(a)(i)</w:t>
      </w:r>
      <w:r>
        <w:rPr>
          <w:color w:val="000000"/>
          <w:shd w:fill="FFFFFF" w:val="clear"/>
        </w:rPr>
        <w:t xml:space="preserve"> </w:t>
      </w:r>
      <w:r>
        <w:rPr>
          <w:rFonts w:ascii="Times New Roman;serif" w:hAnsi="Times New Roman;serif"/>
          <w:b w:val="false"/>
          <w:color w:val="000000"/>
          <w:sz w:val="20"/>
          <w:shd w:fill="FFFFFF" w:val="clear"/>
        </w:rPr>
        <w:t xml:space="preserve">of this Plan.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10.34</w:t>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46685"/>
                <wp:effectExtent l="0" t="0" r="0" b="0"/>
                <wp:wrapNone/>
                <wp:docPr id="155" name="Frame1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4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240" w:after="240"/>
        <w:jc w:val="center"/>
        <w:rPr>
          <w:rFonts w:ascii="Times New Roman;serif" w:hAnsi="Times New Roman;serif"/>
          <w:b/>
          <w:color w:val="000000"/>
          <w:sz w:val="24"/>
          <w:u w:val="single"/>
        </w:rPr>
      </w:pPr>
      <w:r>
        <w:rPr>
          <w:rFonts w:ascii="Times New Roman;serif" w:hAnsi="Times New Roman;serif"/>
          <w:b/>
          <w:color w:val="000000"/>
          <w:sz w:val="24"/>
          <w:u w:val="single"/>
        </w:rPr>
        <w:t>REGISTRATION RIGHTS AGREEMENT</w:t>
      </w:r>
    </w:p>
    <w:p>
      <w:pPr>
        <w:pStyle w:val="TextBody"/>
        <w:bidi w:val="0"/>
        <w:spacing w:lineRule="auto" w:line="288" w:before="240" w:after="240"/>
        <w:ind w:left="0" w:right="0" w:firstLine="720"/>
        <w:jc w:val="both"/>
        <w:rPr/>
      </w:pPr>
      <w:r>
        <w:rPr>
          <w:rFonts w:ascii="Times New Roman;serif" w:hAnsi="Times New Roman;serif"/>
          <w:b w:val="false"/>
          <w:color w:val="000000"/>
          <w:sz w:val="24"/>
        </w:rPr>
        <w:t>THIS REGISTRATION RIGHTS AGREEMENT (this “</w:t>
      </w:r>
      <w:r>
        <w:rPr>
          <w:rFonts w:ascii="Times New Roman;serif" w:hAnsi="Times New Roman;serif"/>
          <w:b/>
          <w:i/>
          <w:color w:val="000000"/>
          <w:sz w:val="24"/>
        </w:rPr>
        <w:t>Agreement</w:t>
      </w:r>
      <w:r>
        <w:rPr>
          <w:color w:val="000000"/>
        </w:rPr>
        <w:t>”</w:t>
      </w:r>
      <w:r>
        <w:rPr>
          <w:rFonts w:ascii="Times New Roman;serif" w:hAnsi="Times New Roman;serif"/>
          <w:b w:val="false"/>
          <w:color w:val="000000"/>
          <w:sz w:val="24"/>
        </w:rPr>
        <w:t>), dated as of October 22, 2024, is made and entered into by and among INNVENTURE, INC., a Delaware corporation (the “</w:t>
      </w:r>
      <w:r>
        <w:rPr>
          <w:rFonts w:ascii="Times New Roman;serif" w:hAnsi="Times New Roman;serif"/>
          <w:b/>
          <w:i/>
          <w:color w:val="000000"/>
          <w:sz w:val="24"/>
        </w:rPr>
        <w:t>Company</w:t>
      </w:r>
      <w:r>
        <w:rPr>
          <w:color w:val="000000"/>
        </w:rPr>
        <w:t>”</w:t>
      </w:r>
      <w:r>
        <w:rPr>
          <w:rFonts w:ascii="Times New Roman;serif" w:hAnsi="Times New Roman;serif"/>
          <w:b w:val="false"/>
          <w:color w:val="000000"/>
          <w:sz w:val="24"/>
        </w:rPr>
        <w:t xml:space="preserve">), WTI FUND X, LLC, a Delaware limited liability company </w:t>
      </w:r>
      <w:r>
        <w:rPr>
          <w:rFonts w:ascii="Times New Roman;serif" w:hAnsi="Times New Roman;serif"/>
          <w:b w:val="false"/>
          <w:i/>
          <w:color w:val="000000"/>
          <w:sz w:val="24"/>
        </w:rPr>
        <w:t>(“</w:t>
      </w:r>
      <w:r>
        <w:rPr>
          <w:rFonts w:ascii="Times New Roman;serif" w:hAnsi="Times New Roman;serif"/>
          <w:b/>
          <w:i/>
          <w:color w:val="000000"/>
          <w:sz w:val="24"/>
        </w:rPr>
        <w:t>WTI X</w:t>
      </w:r>
      <w:r>
        <w:rPr>
          <w:color w:val="000000"/>
        </w:rPr>
        <w:t>”</w:t>
      </w:r>
      <w:r>
        <w:rPr>
          <w:rFonts w:ascii="Times New Roman;serif" w:hAnsi="Times New Roman;serif"/>
          <w:b w:val="false"/>
          <w:color w:val="000000"/>
          <w:sz w:val="24"/>
        </w:rPr>
        <w:t>), and WTI FUND XI, LLC., a Delaware limited liability company (“</w:t>
      </w:r>
      <w:r>
        <w:rPr>
          <w:rFonts w:ascii="Times New Roman;serif" w:hAnsi="Times New Roman;serif"/>
          <w:b/>
          <w:i/>
          <w:color w:val="000000"/>
          <w:sz w:val="24"/>
        </w:rPr>
        <w:t>WTI XI</w:t>
      </w:r>
      <w:r>
        <w:rPr>
          <w:color w:val="000000"/>
        </w:rPr>
        <w:t xml:space="preserve">” </w:t>
      </w:r>
      <w:r>
        <w:rPr>
          <w:rFonts w:ascii="Times New Roman;serif" w:hAnsi="Times New Roman;serif"/>
          <w:b w:val="false"/>
          <w:color w:val="000000"/>
          <w:sz w:val="24"/>
        </w:rPr>
        <w:t>and, together with WTI X, the “</w:t>
      </w:r>
      <w:r>
        <w:rPr>
          <w:rFonts w:ascii="Times New Roman;serif" w:hAnsi="Times New Roman;serif"/>
          <w:b/>
          <w:i/>
          <w:color w:val="000000"/>
          <w:sz w:val="24"/>
        </w:rPr>
        <w:t>Investors</w:t>
      </w:r>
      <w:r>
        <w:rPr>
          <w:color w:val="000000"/>
        </w:rPr>
        <w:t xml:space="preserve">” </w:t>
      </w:r>
      <w:r>
        <w:rPr>
          <w:rFonts w:ascii="Times New Roman;serif" w:hAnsi="Times New Roman;serif"/>
          <w:b w:val="false"/>
          <w:color w:val="000000"/>
          <w:sz w:val="24"/>
        </w:rPr>
        <w:t xml:space="preserve">and, collectively with any person or entity who hereafter becomes a party to this Agreement pursuant to </w:t>
      </w:r>
      <w:r>
        <w:rPr>
          <w:rFonts w:ascii="Times New Roman;serif" w:hAnsi="Times New Roman;serif"/>
          <w:b w:val="false"/>
          <w:color w:val="000000"/>
          <w:sz w:val="24"/>
          <w:u w:val="single"/>
        </w:rPr>
        <w:t>Section 5.2</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5.12</w:t>
      </w:r>
      <w:r>
        <w:rPr>
          <w:color w:val="000000"/>
        </w:rPr>
        <w:t xml:space="preserve"> </w:t>
      </w:r>
      <w:r>
        <w:rPr>
          <w:rFonts w:ascii="Times New Roman;serif" w:hAnsi="Times New Roman;serif"/>
          <w:b w:val="false"/>
          <w:color w:val="000000"/>
          <w:sz w:val="24"/>
        </w:rPr>
        <w:t>of this Agreement, for so long as such person or entity holds any Registrable Securities, the “</w:t>
      </w:r>
      <w:r>
        <w:rPr>
          <w:rFonts w:ascii="Times New Roman;serif" w:hAnsi="Times New Roman;serif"/>
          <w:b/>
          <w:i/>
          <w:color w:val="000000"/>
          <w:sz w:val="24"/>
        </w:rPr>
        <w:t>Holders</w:t>
      </w:r>
      <w:r>
        <w:rPr>
          <w:color w:val="000000"/>
        </w:rPr>
        <w:t xml:space="preserve">” </w:t>
      </w:r>
      <w:r>
        <w:rPr>
          <w:rFonts w:ascii="Times New Roman;serif" w:hAnsi="Times New Roman;serif"/>
          <w:b w:val="false"/>
          <w:color w:val="000000"/>
          <w:sz w:val="24"/>
        </w:rPr>
        <w:t>and each, a “</w:t>
      </w:r>
      <w:r>
        <w:rPr>
          <w:rFonts w:ascii="Times New Roman;serif" w:hAnsi="Times New Roman;serif"/>
          <w:b/>
          <w:i/>
          <w:color w:val="000000"/>
          <w:sz w:val="24"/>
        </w:rPr>
        <w:t>Holder</w:t>
      </w:r>
      <w:r>
        <w:rPr>
          <w:color w:val="000000"/>
        </w:rPr>
        <w:t>”</w:t>
      </w:r>
      <w:r>
        <w:rPr>
          <w:rFonts w:ascii="Times New Roman;serif" w:hAnsi="Times New Roman;serif"/>
          <w:b w:val="false"/>
          <w:color w:val="000000"/>
          <w:sz w:val="24"/>
        </w:rPr>
        <w:t>).</w:t>
      </w:r>
    </w:p>
    <w:p>
      <w:pPr>
        <w:pStyle w:val="TextBody"/>
        <w:bidi w:val="0"/>
        <w:spacing w:lineRule="auto" w:line="288" w:before="240" w:after="240"/>
        <w:jc w:val="center"/>
        <w:rPr>
          <w:rFonts w:ascii="Times New Roman;serif" w:hAnsi="Times New Roman;serif"/>
          <w:b/>
          <w:color w:val="000000"/>
          <w:sz w:val="24"/>
        </w:rPr>
      </w:pPr>
      <w:r>
        <w:rPr>
          <w:rFonts w:ascii="Times New Roman;serif" w:hAnsi="Times New Roman;serif"/>
          <w:b/>
          <w:color w:val="000000"/>
          <w:sz w:val="24"/>
        </w:rPr>
        <w:t>RECITALS</w:t>
      </w:r>
    </w:p>
    <w:p>
      <w:pPr>
        <w:pStyle w:val="TextBody"/>
        <w:bidi w:val="0"/>
        <w:spacing w:lineRule="auto" w:line="288" w:before="240" w:after="24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in connection with the Warrant to Acquire Securities of Innventure, Inc., by and between the Company and WTI X and the Warrant to Acquire Securities of Innventure, Inc. by and between the Company and WTI XI (together, the “</w:t>
      </w:r>
      <w:r>
        <w:rPr>
          <w:rFonts w:ascii="Times New Roman;serif" w:hAnsi="Times New Roman;serif"/>
          <w:b/>
          <w:i/>
          <w:color w:val="000000"/>
          <w:sz w:val="24"/>
        </w:rPr>
        <w:t>Warrant Certificates</w:t>
      </w:r>
      <w:r>
        <w:rPr>
          <w:color w:val="000000"/>
        </w:rPr>
        <w:t>”</w:t>
      </w:r>
      <w:r>
        <w:rPr>
          <w:rFonts w:ascii="Times New Roman;serif" w:hAnsi="Times New Roman;serif"/>
          <w:b w:val="false"/>
          <w:color w:val="000000"/>
          <w:sz w:val="24"/>
        </w:rPr>
        <w:t>), the Company has agreed, upon the terms and subject to the conditions of the Warrant Certificates, to issue and sell to the Investors up to $10,000,000 of common stock of the Company (the “</w:t>
      </w:r>
      <w:r>
        <w:rPr>
          <w:rFonts w:ascii="Times New Roman;serif" w:hAnsi="Times New Roman;serif"/>
          <w:b/>
          <w:i/>
          <w:color w:val="000000"/>
          <w:sz w:val="24"/>
        </w:rPr>
        <w:t>Common Stock</w:t>
      </w:r>
      <w:r>
        <w:rPr>
          <w:color w:val="000000"/>
        </w:rPr>
        <w:t xml:space="preserve">” </w:t>
      </w:r>
      <w:r>
        <w:rPr>
          <w:rFonts w:ascii="Times New Roman;serif" w:hAnsi="Times New Roman;serif"/>
          <w:b w:val="false"/>
          <w:color w:val="000000"/>
          <w:sz w:val="24"/>
        </w:rPr>
        <w:t>and, as converted, the “</w:t>
      </w:r>
      <w:r>
        <w:rPr>
          <w:rFonts w:ascii="Times New Roman;serif" w:hAnsi="Times New Roman;serif"/>
          <w:b/>
          <w:i/>
          <w:color w:val="000000"/>
          <w:sz w:val="24"/>
        </w:rPr>
        <w:t>Warrant Shares</w:t>
      </w:r>
      <w:r>
        <w:rPr>
          <w:color w:val="000000"/>
        </w:rPr>
        <w:t>”</w:t>
      </w:r>
      <w:r>
        <w:rPr>
          <w:rFonts w:ascii="Times New Roman;serif" w:hAnsi="Times New Roman;serif"/>
          <w:b w:val="false"/>
          <w:color w:val="000000"/>
          <w:sz w:val="24"/>
        </w:rPr>
        <w:t>), which shall be issuable upon exercise of the warrants (the “</w:t>
      </w:r>
      <w:r>
        <w:rPr>
          <w:rFonts w:ascii="Times New Roman;serif" w:hAnsi="Times New Roman;serif"/>
          <w:b/>
          <w:i/>
          <w:color w:val="000000"/>
          <w:sz w:val="24"/>
        </w:rPr>
        <w:t>Warrants</w:t>
      </w:r>
      <w:r>
        <w:rPr>
          <w:color w:val="000000"/>
        </w:rPr>
        <w:t>”</w:t>
      </w:r>
      <w:r>
        <w:rPr>
          <w:rFonts w:ascii="Times New Roman;serif" w:hAnsi="Times New Roman;serif"/>
          <w:b w:val="false"/>
          <w:color w:val="000000"/>
          <w:sz w:val="24"/>
        </w:rPr>
        <w:t>). Capitalized terms not defined herein shall have the meaning ascribed to them in the Warrant Certificates; and</w:t>
      </w:r>
    </w:p>
    <w:p>
      <w:pPr>
        <w:pStyle w:val="TextBody"/>
        <w:bidi w:val="0"/>
        <w:spacing w:lineRule="auto" w:line="288" w:before="240" w:after="24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to induce the Investors to execute and deliver the Warrant Certificates, the Company has agreed to provide certain registration rights under the Securities Act of 1933, as amended, and the rules and regulations thereunder, or any similar successor statute (collectively, the “</w:t>
      </w:r>
      <w:r>
        <w:rPr>
          <w:rFonts w:ascii="Times New Roman;serif" w:hAnsi="Times New Roman;serif"/>
          <w:b/>
          <w:i/>
          <w:color w:val="000000"/>
          <w:sz w:val="24"/>
        </w:rPr>
        <w:t>Securities Act</w:t>
      </w:r>
      <w:r>
        <w:rPr>
          <w:color w:val="000000"/>
        </w:rPr>
        <w:t>”</w:t>
      </w:r>
      <w:r>
        <w:rPr>
          <w:rFonts w:ascii="Times New Roman;serif" w:hAnsi="Times New Roman;serif"/>
          <w:b w:val="false"/>
          <w:color w:val="000000"/>
          <w:sz w:val="24"/>
        </w:rPr>
        <w:t>), and applicable state securities laws and other rights as provided for herein.</w:t>
      </w:r>
    </w:p>
    <w:p>
      <w:pPr>
        <w:pStyle w:val="TextBody"/>
        <w:bidi w:val="0"/>
        <w:spacing w:lineRule="auto" w:line="288" w:before="240" w:after="240"/>
        <w:jc w:val="center"/>
        <w:rPr>
          <w:rFonts w:ascii="Times New Roman;serif" w:hAnsi="Times New Roman;serif"/>
          <w:b/>
          <w:color w:val="000000"/>
          <w:sz w:val="24"/>
          <w:u w:val="single"/>
        </w:rPr>
      </w:pPr>
      <w:r>
        <w:rPr>
          <w:rFonts w:ascii="Times New Roman;serif" w:hAnsi="Times New Roman;serif"/>
          <w:b/>
          <w:color w:val="000000"/>
          <w:sz w:val="24"/>
          <w:u w:val="single"/>
        </w:rPr>
        <w:t>AGREEMENT</w:t>
      </w:r>
    </w:p>
    <w:p>
      <w:pPr>
        <w:pStyle w:val="TextBody"/>
        <w:bidi w:val="0"/>
        <w:spacing w:lineRule="auto" w:line="288" w:before="240" w:after="240"/>
        <w:ind w:left="0" w:right="0" w:firstLine="720"/>
        <w:jc w:val="both"/>
        <w:rPr/>
      </w:pPr>
      <w:r>
        <w:rPr>
          <w:rFonts w:ascii="Times New Roman;serif" w:hAnsi="Times New Roman;serif"/>
          <w:b/>
          <w:color w:val="000000"/>
          <w:sz w:val="24"/>
        </w:rPr>
        <w:t>NOW</w:t>
      </w:r>
      <w:r>
        <w:rPr>
          <w:rFonts w:ascii="Times New Roman;serif" w:hAnsi="Times New Roman;serif"/>
          <w:b w:val="false"/>
          <w:color w:val="000000"/>
          <w:sz w:val="24"/>
        </w:rPr>
        <w:t xml:space="preserve">, </w:t>
      </w:r>
      <w:r>
        <w:rPr>
          <w:rFonts w:ascii="Times New Roman;serif" w:hAnsi="Times New Roman;serif"/>
          <w:b/>
          <w:color w:val="000000"/>
          <w:sz w:val="24"/>
        </w:rPr>
        <w:t>THEREFORE</w:t>
      </w:r>
      <w:r>
        <w:rPr>
          <w:rFonts w:ascii="Times New Roman;serif" w:hAnsi="Times New Roman;serif"/>
          <w:b w:val="false"/>
          <w:color w:val="000000"/>
          <w:sz w:val="24"/>
        </w:rPr>
        <w:t>, in consideration of the representations, covenants and agreements contained herein, and certain other good and valuable consideration, the receipt and sufficiency of which are hereby acknowledged, the parties hereto, intending to be legally bound, hereby agree as follows:</w:t>
      </w:r>
    </w:p>
    <w:p>
      <w:pPr>
        <w:pStyle w:val="TextBody"/>
        <w:bidi w:val="0"/>
        <w:spacing w:lineRule="auto" w:line="288" w:before="240" w:after="240"/>
        <w:jc w:val="center"/>
        <w:rPr/>
      </w:pPr>
      <w:r>
        <w:rPr>
          <w:rFonts w:ascii="Times New Roman;serif" w:hAnsi="Times New Roman;serif"/>
          <w:b/>
          <w:color w:val="000000"/>
          <w:sz w:val="24"/>
        </w:rPr>
        <w:t>ARTICLE I</w:t>
      </w:r>
      <w:r>
        <w:rPr>
          <w:rFonts w:ascii="Times New Roman;serif" w:hAnsi="Times New Roman;serif"/>
          <w:b/>
          <w:color w:val="000000"/>
          <w:sz w:val="24"/>
          <w:u w:val="single"/>
        </w:rPr>
        <w:br/>
        <w:br/>
        <w:t>DEFINITIONS</w:t>
      </w:r>
    </w:p>
    <w:p>
      <w:pPr>
        <w:pStyle w:val="TextBody"/>
        <w:bidi w:val="0"/>
        <w:spacing w:lineRule="auto" w:line="288" w:before="0" w:after="24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Definitions.</w:t>
      </w:r>
    </w:p>
    <w:p>
      <w:pPr>
        <w:pStyle w:val="TextBody"/>
        <w:bidi w:val="0"/>
        <w:spacing w:lineRule="auto" w:line="288" w:before="0" w:after="240"/>
        <w:jc w:val="both"/>
        <w:rPr/>
      </w:pPr>
      <w:r>
        <w:rPr>
          <w:rFonts w:ascii="Times New Roman;serif" w:hAnsi="Times New Roman;serif"/>
          <w:b w:val="false"/>
          <w:color w:val="000000"/>
          <w:sz w:val="24"/>
        </w:rPr>
        <w:t xml:space="preserve">The terms defined in this </w:t>
      </w:r>
      <w:r>
        <w:rPr>
          <w:rFonts w:ascii="Times New Roman;serif" w:hAnsi="Times New Roman;serif"/>
          <w:b w:val="false"/>
          <w:color w:val="000000"/>
          <w:sz w:val="24"/>
          <w:u w:val="single"/>
        </w:rPr>
        <w:t>Article I</w:t>
      </w:r>
      <w:r>
        <w:rPr>
          <w:color w:val="000000"/>
        </w:rPr>
        <w:t xml:space="preserve"> </w:t>
      </w:r>
      <w:r>
        <w:rPr>
          <w:rFonts w:ascii="Times New Roman;serif" w:hAnsi="Times New Roman;serif"/>
          <w:b w:val="false"/>
          <w:color w:val="000000"/>
          <w:sz w:val="24"/>
        </w:rPr>
        <w:t>shall, for all purposes of this Agreement, have the respective meanings set forth below:</w:t>
      </w:r>
    </w:p>
    <w:p>
      <w:pPr>
        <w:pStyle w:val="TextBody"/>
        <w:bidi w:val="0"/>
        <w:spacing w:lineRule="auto" w:line="288" w:before="240" w:after="240"/>
        <w:ind w:left="0" w:right="0" w:firstLine="720"/>
        <w:jc w:val="both"/>
        <w:rPr/>
      </w:pPr>
      <w:r>
        <w:rPr>
          <w:color w:val="000000"/>
        </w:rPr>
        <w:t>“</w:t>
      </w:r>
      <w:r>
        <w:rPr>
          <w:rFonts w:ascii="Times New Roman;serif" w:hAnsi="Times New Roman;serif"/>
          <w:b/>
          <w:i/>
          <w:color w:val="000000"/>
          <w:sz w:val="24"/>
        </w:rPr>
        <w:t>Adverse Disclosure</w:t>
      </w:r>
      <w:r>
        <w:rPr>
          <w:color w:val="000000"/>
        </w:rPr>
        <w:t xml:space="preserve">” </w:t>
      </w:r>
      <w:r>
        <w:rPr>
          <w:rFonts w:ascii="Times New Roman;serif" w:hAnsi="Times New Roman;serif"/>
          <w:b w:val="false"/>
          <w:color w:val="000000"/>
          <w:sz w:val="24"/>
        </w:rPr>
        <w:t xml:space="preserve">shall mean any public disclosure of material non-public information, which disclosure, in the good faith judgment of the Chief Executive Officer or the Chief Financial Officer of the Company, after consultation with counsel to the Company, (a) would be required to be made in any Registration Statement or Prospectus in order for the </w:t>
      </w:r>
    </w:p>
    <w:p>
      <w:pPr>
        <w:pStyle w:val="TextBody"/>
        <w:bidi w:val="0"/>
        <w:spacing w:before="0" w:after="0"/>
        <w:jc w:val="righ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350520"/>
                <wp:effectExtent l="0" t="0" r="0" b="0"/>
                <wp:wrapNone/>
                <wp:docPr id="156" name="Frame15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applicable Registration Statement or Prospectus not to contain any untrue statement of a material fact or omit to state a material fact necessary to make the statements contained therein (in the case of any prospectus and any preliminary prospectus, in the light of the circumstances under which they were made) not misleading, (b) would not be required to be made at such time if the Registration Statement were not being filed, declared effective or used, as the case may be, and (c) the Company has a bona fide business purpose for not making such information public.</w:t>
      </w:r>
    </w:p>
    <w:p>
      <w:pPr>
        <w:pStyle w:val="TextBody"/>
        <w:bidi w:val="0"/>
        <w:spacing w:lineRule="auto" w:line="288" w:before="240" w:after="240"/>
        <w:ind w:left="0" w:right="0" w:firstLine="720"/>
        <w:jc w:val="both"/>
        <w:rPr/>
      </w:pPr>
      <w:r>
        <w:rPr>
          <w:color w:val="000000"/>
        </w:rPr>
        <w:t>“</w:t>
      </w:r>
      <w:r>
        <w:rPr>
          <w:rFonts w:ascii="Times New Roman;serif" w:hAnsi="Times New Roman;serif"/>
          <w:b/>
          <w:i/>
          <w:color w:val="000000"/>
          <w:sz w:val="24"/>
        </w:rPr>
        <w:t>Agreement</w:t>
      </w:r>
      <w:r>
        <w:rPr>
          <w:color w:val="000000"/>
        </w:rPr>
        <w:t xml:space="preserve">” </w:t>
      </w:r>
      <w:r>
        <w:rPr>
          <w:rFonts w:ascii="Times New Roman;serif" w:hAnsi="Times New Roman;serif"/>
          <w:b w:val="false"/>
          <w:color w:val="000000"/>
          <w:sz w:val="24"/>
        </w:rPr>
        <w:t>shall have the meaning given in the Preamble.</w:t>
      </w:r>
    </w:p>
    <w:p>
      <w:pPr>
        <w:pStyle w:val="TextBody"/>
        <w:bidi w:val="0"/>
        <w:spacing w:lineRule="auto" w:line="288" w:before="240" w:after="240"/>
        <w:ind w:left="0" w:right="0" w:firstLine="720"/>
        <w:jc w:val="both"/>
        <w:rPr/>
      </w:pPr>
      <w:r>
        <w:rPr>
          <w:color w:val="000000"/>
        </w:rPr>
        <w:t>“</w:t>
      </w:r>
      <w:r>
        <w:rPr>
          <w:rFonts w:ascii="Times New Roman;serif" w:hAnsi="Times New Roman;serif"/>
          <w:b/>
          <w:i/>
          <w:color w:val="000000"/>
          <w:sz w:val="24"/>
        </w:rPr>
        <w:t>Board</w:t>
      </w:r>
      <w:r>
        <w:rPr>
          <w:color w:val="000000"/>
        </w:rPr>
        <w:t xml:space="preserve">” </w:t>
      </w:r>
      <w:r>
        <w:rPr>
          <w:rFonts w:ascii="Times New Roman;serif" w:hAnsi="Times New Roman;serif"/>
          <w:b w:val="false"/>
          <w:color w:val="000000"/>
          <w:sz w:val="24"/>
        </w:rPr>
        <w:t xml:space="preserve">shall mean the Board of Directors of the Company. </w:t>
      </w:r>
    </w:p>
    <w:p>
      <w:pPr>
        <w:pStyle w:val="TextBody"/>
        <w:bidi w:val="0"/>
        <w:spacing w:lineRule="auto" w:line="288" w:before="240" w:after="240"/>
        <w:ind w:left="0" w:right="0" w:firstLine="720"/>
        <w:jc w:val="both"/>
        <w:rPr/>
      </w:pPr>
      <w:r>
        <w:rPr>
          <w:color w:val="000000"/>
        </w:rPr>
        <w:t>“</w:t>
      </w:r>
      <w:r>
        <w:rPr>
          <w:rFonts w:ascii="Times New Roman;serif" w:hAnsi="Times New Roman;serif"/>
          <w:b/>
          <w:i/>
          <w:color w:val="000000"/>
          <w:sz w:val="24"/>
        </w:rPr>
        <w:t>Commission</w:t>
      </w:r>
      <w:r>
        <w:rPr>
          <w:color w:val="000000"/>
        </w:rPr>
        <w:t xml:space="preserve">” </w:t>
      </w:r>
      <w:r>
        <w:rPr>
          <w:rFonts w:ascii="Times New Roman;serif" w:hAnsi="Times New Roman;serif"/>
          <w:b w:val="false"/>
          <w:color w:val="000000"/>
          <w:sz w:val="24"/>
        </w:rPr>
        <w:t>shall mean the U.S. Securities and Exchange Commission.</w:t>
      </w:r>
    </w:p>
    <w:p>
      <w:pPr>
        <w:pStyle w:val="TextBody"/>
        <w:bidi w:val="0"/>
        <w:spacing w:lineRule="auto" w:line="288" w:before="240" w:after="240"/>
        <w:ind w:left="0" w:right="0" w:firstLine="720"/>
        <w:jc w:val="both"/>
        <w:rPr/>
      </w:pPr>
      <w:r>
        <w:rPr>
          <w:color w:val="000000"/>
        </w:rPr>
        <w:t>“</w:t>
      </w:r>
      <w:r>
        <w:rPr>
          <w:rFonts w:ascii="Times New Roman;serif" w:hAnsi="Times New Roman;serif"/>
          <w:b/>
          <w:i/>
          <w:color w:val="000000"/>
          <w:sz w:val="24"/>
        </w:rPr>
        <w:t>Common Stock</w:t>
      </w:r>
      <w:r>
        <w:rPr>
          <w:color w:val="000000"/>
        </w:rPr>
        <w:t xml:space="preserve">” </w:t>
      </w:r>
      <w:r>
        <w:rPr>
          <w:rFonts w:ascii="Times New Roman;serif" w:hAnsi="Times New Roman;serif"/>
          <w:b w:val="false"/>
          <w:color w:val="000000"/>
          <w:sz w:val="24"/>
        </w:rPr>
        <w:t>shall have the meaning given in the Recitals.</w:t>
      </w:r>
    </w:p>
    <w:p>
      <w:pPr>
        <w:pStyle w:val="TextBody"/>
        <w:bidi w:val="0"/>
        <w:spacing w:lineRule="auto" w:line="288" w:before="240" w:after="240"/>
        <w:ind w:left="0" w:right="0" w:firstLine="720"/>
        <w:jc w:val="both"/>
        <w:rPr/>
      </w:pPr>
      <w:r>
        <w:rPr>
          <w:color w:val="000000"/>
        </w:rPr>
        <w:t>“</w:t>
      </w:r>
      <w:r>
        <w:rPr>
          <w:rFonts w:ascii="Times New Roman;serif" w:hAnsi="Times New Roman;serif"/>
          <w:b/>
          <w:i/>
          <w:color w:val="000000"/>
          <w:sz w:val="24"/>
        </w:rPr>
        <w:t>Company</w:t>
      </w:r>
      <w:r>
        <w:rPr>
          <w:color w:val="000000"/>
        </w:rPr>
        <w:t xml:space="preserve">” </w:t>
      </w:r>
      <w:r>
        <w:rPr>
          <w:rFonts w:ascii="Times New Roman;serif" w:hAnsi="Times New Roman;serif"/>
          <w:b w:val="false"/>
          <w:color w:val="000000"/>
          <w:sz w:val="24"/>
        </w:rPr>
        <w:t>shall have the meaning given in the Preamble.</w:t>
      </w:r>
    </w:p>
    <w:p>
      <w:pPr>
        <w:pStyle w:val="TextBody"/>
        <w:bidi w:val="0"/>
        <w:spacing w:lineRule="auto" w:line="288" w:before="240" w:after="240"/>
        <w:ind w:left="0" w:right="0" w:firstLine="720"/>
        <w:jc w:val="both"/>
        <w:rPr/>
      </w:pPr>
      <w:r>
        <w:rPr>
          <w:color w:val="000000"/>
        </w:rPr>
        <w:t>“</w:t>
      </w:r>
      <w:r>
        <w:rPr>
          <w:rFonts w:ascii="Times New Roman;serif" w:hAnsi="Times New Roman;serif"/>
          <w:b/>
          <w:i/>
          <w:color w:val="000000"/>
          <w:sz w:val="24"/>
        </w:rPr>
        <w:t>EDGAR</w:t>
      </w:r>
      <w:r>
        <w:rPr>
          <w:color w:val="000000"/>
        </w:rPr>
        <w:t xml:space="preserve">” </w:t>
      </w:r>
      <w:r>
        <w:rPr>
          <w:rFonts w:ascii="Times New Roman;serif" w:hAnsi="Times New Roman;serif"/>
          <w:b w:val="false"/>
          <w:color w:val="000000"/>
          <w:sz w:val="24"/>
        </w:rPr>
        <w:t xml:space="preserve">shall have the meaning given in </w:t>
      </w:r>
      <w:r>
        <w:rPr>
          <w:rFonts w:ascii="Times New Roman;serif" w:hAnsi="Times New Roman;serif"/>
          <w:b w:val="false"/>
          <w:color w:val="000000"/>
          <w:sz w:val="24"/>
          <w:u w:val="single"/>
        </w:rPr>
        <w:t>Section 3.1.3</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i/>
          <w:color w:val="000000"/>
          <w:sz w:val="24"/>
        </w:rPr>
        <w:t>Exchange Act</w:t>
      </w:r>
      <w:r>
        <w:rPr>
          <w:color w:val="000000"/>
        </w:rPr>
        <w:t xml:space="preserve">” </w:t>
      </w:r>
      <w:r>
        <w:rPr>
          <w:rFonts w:ascii="Times New Roman;serif" w:hAnsi="Times New Roman;serif"/>
          <w:b w:val="false"/>
          <w:color w:val="000000"/>
          <w:sz w:val="24"/>
        </w:rPr>
        <w:t>shall mean the Securities Exchange Act of 1934, as it may be amended from time to time.</w:t>
      </w:r>
    </w:p>
    <w:p>
      <w:pPr>
        <w:pStyle w:val="TextBody"/>
        <w:bidi w:val="0"/>
        <w:spacing w:lineRule="auto" w:line="288" w:before="240" w:after="240"/>
        <w:ind w:left="0" w:right="0" w:firstLine="720"/>
        <w:jc w:val="both"/>
        <w:rPr/>
      </w:pPr>
      <w:r>
        <w:rPr>
          <w:color w:val="000000"/>
        </w:rPr>
        <w:t>“</w:t>
      </w:r>
      <w:r>
        <w:rPr>
          <w:rFonts w:ascii="Times New Roman;serif" w:hAnsi="Times New Roman;serif"/>
          <w:b/>
          <w:i/>
          <w:color w:val="000000"/>
          <w:sz w:val="24"/>
        </w:rPr>
        <w:t>Form S-3 Shelf</w:t>
      </w:r>
      <w:r>
        <w:rPr>
          <w:color w:val="000000"/>
        </w:rPr>
        <w:t xml:space="preserve">” </w:t>
      </w:r>
      <w:r>
        <w:rPr>
          <w:rFonts w:ascii="Times New Roman;serif" w:hAnsi="Times New Roman;serif"/>
          <w:b w:val="false"/>
          <w:color w:val="000000"/>
          <w:sz w:val="24"/>
        </w:rPr>
        <w:t xml:space="preserve">shall have the meaning given in </w:t>
      </w:r>
      <w:r>
        <w:rPr>
          <w:rFonts w:ascii="Times New Roman;serif" w:hAnsi="Times New Roman;serif"/>
          <w:b w:val="false"/>
          <w:color w:val="000000"/>
          <w:sz w:val="24"/>
          <w:u w:val="single"/>
        </w:rPr>
        <w:t>Section 2.1.1</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i/>
          <w:color w:val="000000"/>
          <w:sz w:val="24"/>
        </w:rPr>
        <w:t>Holders</w:t>
      </w:r>
      <w:r>
        <w:rPr>
          <w:color w:val="000000"/>
        </w:rPr>
        <w:t xml:space="preserve">” </w:t>
      </w:r>
      <w:r>
        <w:rPr>
          <w:rFonts w:ascii="Times New Roman;serif" w:hAnsi="Times New Roman;serif"/>
          <w:b w:val="false"/>
          <w:color w:val="000000"/>
          <w:sz w:val="24"/>
        </w:rPr>
        <w:t>or “</w:t>
      </w:r>
      <w:r>
        <w:rPr>
          <w:rFonts w:ascii="Times New Roman;serif" w:hAnsi="Times New Roman;serif"/>
          <w:b/>
          <w:i/>
          <w:color w:val="000000"/>
          <w:sz w:val="24"/>
        </w:rPr>
        <w:t>Holder</w:t>
      </w:r>
      <w:r>
        <w:rPr>
          <w:color w:val="000000"/>
        </w:rPr>
        <w:t xml:space="preserve">” </w:t>
      </w:r>
      <w:r>
        <w:rPr>
          <w:rFonts w:ascii="Times New Roman;serif" w:hAnsi="Times New Roman;serif"/>
          <w:b w:val="false"/>
          <w:color w:val="000000"/>
          <w:sz w:val="24"/>
        </w:rPr>
        <w:t>shall have the meaning given in the Preamble.</w:t>
      </w:r>
    </w:p>
    <w:p>
      <w:pPr>
        <w:pStyle w:val="TextBody"/>
        <w:bidi w:val="0"/>
        <w:spacing w:lineRule="auto" w:line="288" w:before="240" w:after="240"/>
        <w:ind w:left="0" w:right="0" w:firstLine="720"/>
        <w:jc w:val="both"/>
        <w:rPr/>
      </w:pPr>
      <w:r>
        <w:rPr>
          <w:color w:val="000000"/>
        </w:rPr>
        <w:t>“</w:t>
      </w:r>
      <w:r>
        <w:rPr>
          <w:rFonts w:ascii="Times New Roman;serif" w:hAnsi="Times New Roman;serif"/>
          <w:b/>
          <w:i/>
          <w:color w:val="000000"/>
          <w:sz w:val="24"/>
        </w:rPr>
        <w:t>Holder Information</w:t>
      </w:r>
      <w:r>
        <w:rPr>
          <w:color w:val="000000"/>
        </w:rPr>
        <w:t xml:space="preserve">” </w:t>
      </w:r>
      <w:r>
        <w:rPr>
          <w:rFonts w:ascii="Times New Roman;serif" w:hAnsi="Times New Roman;serif"/>
          <w:b w:val="false"/>
          <w:color w:val="000000"/>
          <w:sz w:val="24"/>
        </w:rPr>
        <w:t xml:space="preserve">shall have the meaning given in </w:t>
      </w:r>
      <w:r>
        <w:rPr>
          <w:rFonts w:ascii="Times New Roman;serif" w:hAnsi="Times New Roman;serif"/>
          <w:b w:val="false"/>
          <w:color w:val="000000"/>
          <w:sz w:val="24"/>
          <w:u w:val="single"/>
        </w:rPr>
        <w:t>Section 4.1.2</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i/>
          <w:color w:val="000000"/>
          <w:sz w:val="24"/>
        </w:rPr>
        <w:t>Investors</w:t>
      </w:r>
      <w:r>
        <w:rPr>
          <w:color w:val="000000"/>
        </w:rPr>
        <w:t xml:space="preserve">” </w:t>
      </w:r>
      <w:r>
        <w:rPr>
          <w:rFonts w:ascii="Times New Roman;serif" w:hAnsi="Times New Roman;serif"/>
          <w:b w:val="false"/>
          <w:color w:val="000000"/>
          <w:sz w:val="24"/>
        </w:rPr>
        <w:t>shall have the meaning given in the Preamble.</w:t>
      </w:r>
    </w:p>
    <w:p>
      <w:pPr>
        <w:pStyle w:val="TextBody"/>
        <w:bidi w:val="0"/>
        <w:spacing w:lineRule="auto" w:line="288" w:before="240" w:after="240"/>
        <w:ind w:left="0" w:right="0" w:firstLine="720"/>
        <w:jc w:val="both"/>
        <w:rPr/>
      </w:pPr>
      <w:r>
        <w:rPr>
          <w:color w:val="000000"/>
        </w:rPr>
        <w:t>“</w:t>
      </w:r>
      <w:r>
        <w:rPr>
          <w:rFonts w:ascii="Times New Roman;serif" w:hAnsi="Times New Roman;serif"/>
          <w:b/>
          <w:i/>
          <w:color w:val="000000"/>
          <w:sz w:val="24"/>
        </w:rPr>
        <w:t>Maximum Number of Securities</w:t>
      </w:r>
      <w:r>
        <w:rPr>
          <w:color w:val="000000"/>
        </w:rPr>
        <w:t xml:space="preserve">” </w:t>
      </w:r>
      <w:r>
        <w:rPr>
          <w:rFonts w:ascii="Times New Roman;serif" w:hAnsi="Times New Roman;serif"/>
          <w:b w:val="false"/>
          <w:color w:val="000000"/>
          <w:sz w:val="24"/>
        </w:rPr>
        <w:t xml:space="preserve">shall have the meaning given in </w:t>
      </w:r>
      <w:r>
        <w:rPr>
          <w:rFonts w:ascii="Times New Roman;serif" w:hAnsi="Times New Roman;serif"/>
          <w:b w:val="false"/>
          <w:color w:val="000000"/>
          <w:sz w:val="24"/>
          <w:u w:val="single"/>
        </w:rPr>
        <w:t>Section 2.2.2</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i/>
          <w:color w:val="000000"/>
          <w:sz w:val="24"/>
        </w:rPr>
        <w:t>Misstatement</w:t>
      </w:r>
      <w:r>
        <w:rPr>
          <w:color w:val="000000"/>
        </w:rPr>
        <w:t xml:space="preserve">” </w:t>
      </w:r>
      <w:r>
        <w:rPr>
          <w:rFonts w:ascii="Times New Roman;serif" w:hAnsi="Times New Roman;serif"/>
          <w:b w:val="false"/>
          <w:color w:val="000000"/>
          <w:sz w:val="24"/>
        </w:rPr>
        <w:t>shall mean an untrue statement of a material fact or an omission to state a material fact required to be stated in a Registration Statement or Prospectus or necessary to make the statements in a Registration Statement or Prospectus (in the case of a Prospectus, in the light of the circumstances under which they were made) not misleading.</w:t>
      </w:r>
    </w:p>
    <w:p>
      <w:pPr>
        <w:pStyle w:val="TextBody"/>
        <w:bidi w:val="0"/>
        <w:spacing w:lineRule="auto" w:line="288" w:before="240" w:after="240"/>
        <w:ind w:left="0" w:right="0" w:firstLine="720"/>
        <w:jc w:val="both"/>
        <w:rPr/>
      </w:pPr>
      <w:r>
        <w:rPr>
          <w:color w:val="000000"/>
        </w:rPr>
        <w:t>“</w:t>
      </w:r>
      <w:r>
        <w:rPr>
          <w:rFonts w:ascii="Times New Roman;serif" w:hAnsi="Times New Roman;serif"/>
          <w:b/>
          <w:i/>
          <w:color w:val="000000"/>
          <w:sz w:val="24"/>
        </w:rPr>
        <w:t>Nasdaq Stock Market</w:t>
      </w:r>
      <w:r>
        <w:rPr>
          <w:color w:val="000000"/>
        </w:rPr>
        <w:t xml:space="preserve">” </w:t>
      </w:r>
      <w:r>
        <w:rPr>
          <w:rFonts w:ascii="Times New Roman;serif" w:hAnsi="Times New Roman;serif"/>
          <w:b w:val="false"/>
          <w:color w:val="000000"/>
          <w:sz w:val="24"/>
        </w:rPr>
        <w:t>shall mean The Nasdaq Stock Market LLC.</w:t>
      </w:r>
    </w:p>
    <w:p>
      <w:pPr>
        <w:pStyle w:val="TextBody"/>
        <w:bidi w:val="0"/>
        <w:spacing w:lineRule="auto" w:line="288" w:before="240" w:after="240"/>
        <w:ind w:left="0" w:right="0" w:firstLine="720"/>
        <w:jc w:val="both"/>
        <w:rPr/>
      </w:pPr>
      <w:r>
        <w:rPr>
          <w:color w:val="000000"/>
        </w:rPr>
        <w:t>“</w:t>
      </w:r>
      <w:r>
        <w:rPr>
          <w:rFonts w:ascii="Times New Roman;serif" w:hAnsi="Times New Roman;serif"/>
          <w:b/>
          <w:i/>
          <w:color w:val="000000"/>
          <w:sz w:val="24"/>
        </w:rPr>
        <w:t>Permitted Transferees</w:t>
      </w:r>
      <w:r>
        <w:rPr>
          <w:color w:val="000000"/>
        </w:rPr>
        <w:t xml:space="preserve">” </w:t>
      </w:r>
      <w:r>
        <w:rPr>
          <w:rFonts w:ascii="Times New Roman;serif" w:hAnsi="Times New Roman;serif"/>
          <w:b w:val="false"/>
          <w:color w:val="000000"/>
          <w:sz w:val="24"/>
        </w:rPr>
        <w:t>shall mean any person or entity to whom such Holder of Registrable Securities is permitted to transfer such Registrable Securities, subject to and in accordance with any applicable agreement between such Holder and/or their respective Permitted Transferees and the Company and any transferee thereafter.</w:t>
      </w:r>
    </w:p>
    <w:p>
      <w:pPr>
        <w:pStyle w:val="TextBody"/>
        <w:bidi w:val="0"/>
        <w:spacing w:lineRule="auto" w:line="288" w:before="240" w:after="240"/>
        <w:ind w:left="0" w:right="0" w:firstLine="720"/>
        <w:jc w:val="both"/>
        <w:rPr/>
      </w:pPr>
      <w:r>
        <w:rPr>
          <w:color w:val="000000"/>
        </w:rPr>
        <w:t>“</w:t>
      </w:r>
      <w:r>
        <w:rPr>
          <w:rFonts w:ascii="Times New Roman;serif" w:hAnsi="Times New Roman;serif"/>
          <w:b/>
          <w:i/>
          <w:color w:val="000000"/>
          <w:sz w:val="24"/>
        </w:rPr>
        <w:t>Piggyback Registration</w:t>
      </w:r>
      <w:r>
        <w:rPr>
          <w:color w:val="000000"/>
        </w:rPr>
        <w:t xml:space="preserve">” </w:t>
      </w:r>
      <w:r>
        <w:rPr>
          <w:rFonts w:ascii="Times New Roman;serif" w:hAnsi="Times New Roman;serif"/>
          <w:b w:val="false"/>
          <w:color w:val="000000"/>
          <w:sz w:val="24"/>
        </w:rPr>
        <w:t xml:space="preserve">shall have the meaning given in </w:t>
      </w:r>
      <w:r>
        <w:rPr>
          <w:rFonts w:ascii="Times New Roman;serif" w:hAnsi="Times New Roman;serif"/>
          <w:b w:val="false"/>
          <w:color w:val="000000"/>
          <w:sz w:val="24"/>
          <w:u w:val="single"/>
        </w:rPr>
        <w:t>Section 2.2.1</w:t>
      </w:r>
      <w:r>
        <w:rPr>
          <w:rFonts w:ascii="Times New Roman;serif" w:hAnsi="Times New Roman;serif"/>
          <w:b w:val="false"/>
          <w:color w:val="000000"/>
          <w:sz w:val="24"/>
        </w:rPr>
        <w:t>.</w:t>
      </w:r>
    </w:p>
    <w:p>
      <w:pPr>
        <w:pStyle w:val="TextBody"/>
        <w:bidi w:val="0"/>
        <w:spacing w:before="0" w:after="0"/>
        <w:jc w:val="righ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57" name="Frame1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firstLine="720"/>
        <w:jc w:val="both"/>
        <w:rPr/>
      </w:pPr>
      <w:r>
        <w:rPr>
          <w:color w:val="000000"/>
        </w:rPr>
        <w:t>“</w:t>
      </w:r>
      <w:r>
        <w:rPr>
          <w:rFonts w:ascii="Times New Roman;serif" w:hAnsi="Times New Roman;serif"/>
          <w:b/>
          <w:i/>
          <w:color w:val="000000"/>
          <w:sz w:val="24"/>
        </w:rPr>
        <w:t>Prospectus</w:t>
      </w:r>
      <w:r>
        <w:rPr>
          <w:color w:val="000000"/>
        </w:rPr>
        <w:t xml:space="preserve">” </w:t>
      </w:r>
      <w:r>
        <w:rPr>
          <w:rFonts w:ascii="Times New Roman;serif" w:hAnsi="Times New Roman;serif"/>
          <w:b w:val="false"/>
          <w:color w:val="000000"/>
          <w:sz w:val="24"/>
        </w:rPr>
        <w:t>shall mean the prospectus included in any Registration Statement, as supplemented by any and all prospectus supplements and as amended by any and all post-effective amendments and including all material incorporated by reference in such prospectus.</w:t>
      </w:r>
    </w:p>
    <w:p>
      <w:pPr>
        <w:pStyle w:val="TextBody"/>
        <w:bidi w:val="0"/>
        <w:spacing w:lineRule="auto" w:line="288" w:before="240" w:after="240"/>
        <w:ind w:left="0" w:right="0" w:firstLine="720"/>
        <w:jc w:val="both"/>
        <w:rPr/>
      </w:pPr>
      <w:r>
        <w:rPr>
          <w:color w:val="000000"/>
        </w:rPr>
        <w:t>“</w:t>
      </w:r>
      <w:r>
        <w:rPr>
          <w:rFonts w:ascii="Times New Roman;serif" w:hAnsi="Times New Roman;serif"/>
          <w:b/>
          <w:i/>
          <w:color w:val="000000"/>
          <w:sz w:val="24"/>
        </w:rPr>
        <w:t>Registrable Security</w:t>
      </w:r>
      <w:r>
        <w:rPr>
          <w:color w:val="000000"/>
        </w:rPr>
        <w:t xml:space="preserve">” </w:t>
      </w:r>
      <w:r>
        <w:rPr>
          <w:rFonts w:ascii="Times New Roman;serif" w:hAnsi="Times New Roman;serif"/>
          <w:b w:val="false"/>
          <w:color w:val="000000"/>
          <w:sz w:val="24"/>
        </w:rPr>
        <w:t xml:space="preserve">shall mean (a) any Warrant Shares; and (b) any other equity security of the Company or any of its subsidiaries issued or issuable with respect to any securities referenced in clause (a) above by way of a stock dividend or stock split or in connection with a recapitalization, merger, arrangement, amalgamation, consolidation, spin-off, reorganization or similar transaction;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as to any particular Registrable Security, such securities shall cease to be Registrable Securities upon the earliest to occur of: (A) a Registration Statement with respect to the sale of such securities shall have become effective under the Securities Act and such securities shall have been sold, transferred, disposed of or exchanged in accordance with such Registration Statement by the applicable Holder; (B)(i) such securities shall have been otherwise transferred, (ii) new certificates for such securities not bearing (or book entry positions not subject to) a legend restricting further transfer shall have been delivered by the Company and (iii) subsequent public distribution of such securities shall not require registration under the Securities Act; (C) such securities shall have ceased to be outstanding; (D) such securities may be sold without registration pursuant to Rule 144 or any successor rule promulgated under the Securities Act (but with no volume or other restrictions or limitations including as to manner or timing of sale); (E) such securities have been sold to, or through, a broker, dealer or underwriter in a public distribution or other public securities transaction; and (F) March 31, 2025. </w:t>
      </w:r>
    </w:p>
    <w:p>
      <w:pPr>
        <w:pStyle w:val="TextBody"/>
        <w:bidi w:val="0"/>
        <w:spacing w:lineRule="auto" w:line="288" w:before="240" w:after="240"/>
        <w:ind w:left="0" w:right="0" w:firstLine="720"/>
        <w:jc w:val="both"/>
        <w:rPr/>
      </w:pPr>
      <w:r>
        <w:rPr>
          <w:color w:val="000000"/>
        </w:rPr>
        <w:t>“</w:t>
      </w:r>
      <w:r>
        <w:rPr>
          <w:rFonts w:ascii="Times New Roman;serif" w:hAnsi="Times New Roman;serif"/>
          <w:b/>
          <w:i/>
          <w:color w:val="000000"/>
          <w:sz w:val="24"/>
        </w:rPr>
        <w:t>Registration</w:t>
      </w:r>
      <w:r>
        <w:rPr>
          <w:color w:val="000000"/>
        </w:rPr>
        <w:t xml:space="preserve">” </w:t>
      </w:r>
      <w:r>
        <w:rPr>
          <w:rFonts w:ascii="Times New Roman;serif" w:hAnsi="Times New Roman;serif"/>
          <w:b w:val="false"/>
          <w:color w:val="000000"/>
          <w:sz w:val="24"/>
        </w:rPr>
        <w:t xml:space="preserve">shall mean a registration, including any related Shelf Takedown, effected by preparing and filing a registration statement, Prospectus or similar document in compliance with the requirements of the Securities Act, and the applicable rules and regulations promulgated thereunder, and such registration statement becoming effective. </w:t>
      </w:r>
    </w:p>
    <w:p>
      <w:pPr>
        <w:pStyle w:val="TextBody"/>
        <w:bidi w:val="0"/>
        <w:spacing w:lineRule="auto" w:line="288" w:before="240" w:after="240"/>
        <w:ind w:left="0" w:right="0" w:firstLine="720"/>
        <w:jc w:val="both"/>
        <w:rPr/>
      </w:pPr>
      <w:r>
        <w:rPr>
          <w:color w:val="000000"/>
        </w:rPr>
        <w:t>“</w:t>
      </w:r>
      <w:r>
        <w:rPr>
          <w:rFonts w:ascii="Times New Roman;serif" w:hAnsi="Times New Roman;serif"/>
          <w:b/>
          <w:i/>
          <w:color w:val="000000"/>
          <w:sz w:val="24"/>
        </w:rPr>
        <w:t>Registration Expenses</w:t>
      </w:r>
      <w:r>
        <w:rPr>
          <w:color w:val="000000"/>
        </w:rPr>
        <w:t xml:space="preserve">” </w:t>
      </w:r>
      <w:r>
        <w:rPr>
          <w:rFonts w:ascii="Times New Roman;serif" w:hAnsi="Times New Roman;serif"/>
          <w:b w:val="false"/>
          <w:color w:val="000000"/>
          <w:sz w:val="24"/>
        </w:rPr>
        <w:t>shall mean the reasonable and documented, out-of-pocket expenses of a Registration, including, without limitation, the following:</w:t>
      </w:r>
    </w:p>
    <w:p>
      <w:pPr>
        <w:pStyle w:val="TextBody"/>
        <w:bidi w:val="0"/>
        <w:spacing w:lineRule="auto" w:line="288" w:before="24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all registration and filing fees (including fees with respect to filings required to be made with the Financial Industry Regulatory Authority, Inc.) and any securities exchange on which the Common Shares are then listed;</w:t>
      </w:r>
    </w:p>
    <w:p>
      <w:pPr>
        <w:pStyle w:val="TextBody"/>
        <w:bidi w:val="0"/>
        <w:spacing w:lineRule="auto" w:line="288" w:before="24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fees and expenses of compliance with securities or blue sky laws (including reasonable fees and disbursements of outside counsel for the Underwriters in connection with blue sky qualifications of Registrable Securities);</w:t>
      </w:r>
    </w:p>
    <w:p>
      <w:pPr>
        <w:pStyle w:val="TextBody"/>
        <w:bidi w:val="0"/>
        <w:spacing w:lineRule="auto" w:line="288" w:before="24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printing, messenger, telephone and delivery expenses;</w:t>
      </w:r>
    </w:p>
    <w:p>
      <w:pPr>
        <w:pStyle w:val="TextBody"/>
        <w:bidi w:val="0"/>
        <w:spacing w:lineRule="auto" w:line="288" w:before="24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reasonable fees and disbursements of counsel for the Company; and</w:t>
      </w:r>
    </w:p>
    <w:p>
      <w:pPr>
        <w:pStyle w:val="TextBody"/>
        <w:bidi w:val="0"/>
        <w:spacing w:lineRule="auto" w:line="288" w:before="24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reasonable fees and disbursements of all independent registered public accountants of the Company incurred specifically in connection with such Registration.</w:t>
      </w:r>
    </w:p>
    <w:p>
      <w:pPr>
        <w:pStyle w:val="TextBody"/>
        <w:bidi w:val="0"/>
        <w:spacing w:before="0" w:after="0"/>
        <w:jc w:val="righ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58" name="Frame1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firstLine="720"/>
        <w:jc w:val="both"/>
        <w:rPr/>
      </w:pPr>
      <w:r>
        <w:rPr>
          <w:color w:val="000000"/>
        </w:rPr>
        <w:t>“</w:t>
      </w:r>
      <w:r>
        <w:rPr>
          <w:rFonts w:ascii="Times New Roman;serif" w:hAnsi="Times New Roman;serif"/>
          <w:b/>
          <w:i/>
          <w:color w:val="000000"/>
          <w:sz w:val="24"/>
        </w:rPr>
        <w:t>Registration Statement</w:t>
      </w:r>
      <w:r>
        <w:rPr>
          <w:color w:val="000000"/>
        </w:rPr>
        <w:t xml:space="preserve">” </w:t>
      </w:r>
      <w:r>
        <w:rPr>
          <w:rFonts w:ascii="Times New Roman;serif" w:hAnsi="Times New Roman;serif"/>
          <w:b w:val="false"/>
          <w:color w:val="000000"/>
          <w:sz w:val="24"/>
        </w:rPr>
        <w:t>shall mean any registration statement on Form S-3 that covers Registrable Securities pursuant to the provisions of this Agreement, including the Prospectus included in such registration statement, amendments (including post-effective amendments) and supplements to such registration statement, and all exhibits to and all material incorporated by reference in such registration statement.</w:t>
      </w:r>
    </w:p>
    <w:p>
      <w:pPr>
        <w:pStyle w:val="TextBody"/>
        <w:bidi w:val="0"/>
        <w:spacing w:lineRule="auto" w:line="288" w:before="240" w:after="240"/>
        <w:ind w:left="0" w:right="0" w:firstLine="720"/>
        <w:jc w:val="both"/>
        <w:rPr/>
      </w:pPr>
      <w:r>
        <w:rPr>
          <w:color w:val="000000"/>
        </w:rPr>
        <w:t>“</w:t>
      </w:r>
      <w:r>
        <w:rPr>
          <w:rFonts w:ascii="Times New Roman;serif" w:hAnsi="Times New Roman;serif"/>
          <w:b/>
          <w:i/>
          <w:color w:val="000000"/>
          <w:sz w:val="24"/>
        </w:rPr>
        <w:t>Securities Act</w:t>
      </w:r>
      <w:r>
        <w:rPr>
          <w:color w:val="000000"/>
        </w:rPr>
        <w:t xml:space="preserve">” </w:t>
      </w:r>
      <w:r>
        <w:rPr>
          <w:rFonts w:ascii="Times New Roman;serif" w:hAnsi="Times New Roman;serif"/>
          <w:b w:val="false"/>
          <w:color w:val="000000"/>
          <w:sz w:val="24"/>
        </w:rPr>
        <w:t>shall have the meaning given in the Recitals.</w:t>
      </w:r>
    </w:p>
    <w:p>
      <w:pPr>
        <w:pStyle w:val="TextBody"/>
        <w:bidi w:val="0"/>
        <w:spacing w:lineRule="auto" w:line="288" w:before="240" w:after="240"/>
        <w:ind w:left="0" w:right="0" w:firstLine="720"/>
        <w:jc w:val="both"/>
        <w:rPr/>
      </w:pPr>
      <w:r>
        <w:rPr>
          <w:color w:val="000000"/>
        </w:rPr>
        <w:t>“</w:t>
      </w:r>
      <w:r>
        <w:rPr>
          <w:rFonts w:ascii="Times New Roman;serif" w:hAnsi="Times New Roman;serif"/>
          <w:b/>
          <w:i/>
          <w:color w:val="000000"/>
          <w:sz w:val="24"/>
        </w:rPr>
        <w:t>Shelf</w:t>
      </w:r>
      <w:r>
        <w:rPr>
          <w:color w:val="000000"/>
        </w:rPr>
        <w:t xml:space="preserve">” </w:t>
      </w:r>
      <w:r>
        <w:rPr>
          <w:rFonts w:ascii="Times New Roman;serif" w:hAnsi="Times New Roman;serif"/>
          <w:b w:val="false"/>
          <w:color w:val="000000"/>
          <w:sz w:val="24"/>
        </w:rPr>
        <w:t>shall mean the Form S-3 Shelf or any Subsequent Shelf Registration Statement, as the case may be.</w:t>
      </w:r>
    </w:p>
    <w:p>
      <w:pPr>
        <w:pStyle w:val="TextBody"/>
        <w:bidi w:val="0"/>
        <w:spacing w:lineRule="auto" w:line="288" w:before="240" w:after="240"/>
        <w:ind w:left="0" w:right="0" w:firstLine="720"/>
        <w:jc w:val="both"/>
        <w:rPr/>
      </w:pPr>
      <w:r>
        <w:rPr>
          <w:color w:val="000000"/>
        </w:rPr>
        <w:t>“</w:t>
      </w:r>
      <w:r>
        <w:rPr>
          <w:rFonts w:ascii="Times New Roman;serif" w:hAnsi="Times New Roman;serif"/>
          <w:b/>
          <w:i/>
          <w:color w:val="000000"/>
          <w:sz w:val="24"/>
        </w:rPr>
        <w:t>Shelf Registration</w:t>
      </w:r>
      <w:r>
        <w:rPr>
          <w:color w:val="000000"/>
        </w:rPr>
        <w:t xml:space="preserve">” </w:t>
      </w:r>
      <w:r>
        <w:rPr>
          <w:rFonts w:ascii="Times New Roman;serif" w:hAnsi="Times New Roman;serif"/>
          <w:b w:val="false"/>
          <w:color w:val="000000"/>
          <w:sz w:val="24"/>
        </w:rPr>
        <w:t>shall mean a registration of securities pursuant to a registration statement filed with the Commission in accordance with and pursuant to Rule 415 promulgated under the Securities Act (or any successor rule then in effect).</w:t>
      </w:r>
    </w:p>
    <w:p>
      <w:pPr>
        <w:pStyle w:val="TextBody"/>
        <w:bidi w:val="0"/>
        <w:spacing w:lineRule="auto" w:line="288" w:before="240" w:after="240"/>
        <w:ind w:left="0" w:right="0" w:firstLine="720"/>
        <w:jc w:val="both"/>
        <w:rPr/>
      </w:pPr>
      <w:r>
        <w:rPr>
          <w:color w:val="000000"/>
        </w:rPr>
        <w:t>“</w:t>
      </w:r>
      <w:r>
        <w:rPr>
          <w:rFonts w:ascii="Times New Roman;serif" w:hAnsi="Times New Roman;serif"/>
          <w:b/>
          <w:i/>
          <w:color w:val="000000"/>
          <w:sz w:val="24"/>
        </w:rPr>
        <w:t>Shelf Takedown</w:t>
      </w:r>
      <w:r>
        <w:rPr>
          <w:color w:val="000000"/>
        </w:rPr>
        <w:t xml:space="preserve">” </w:t>
      </w:r>
      <w:r>
        <w:rPr>
          <w:rFonts w:ascii="Times New Roman;serif" w:hAnsi="Times New Roman;serif"/>
          <w:b w:val="false"/>
          <w:color w:val="000000"/>
          <w:sz w:val="24"/>
        </w:rPr>
        <w:t>shall mean any proposed transfer or sale using a Registration Statement, including a Piggyback Registration.</w:t>
      </w:r>
    </w:p>
    <w:p>
      <w:pPr>
        <w:pStyle w:val="TextBody"/>
        <w:bidi w:val="0"/>
        <w:spacing w:lineRule="auto" w:line="288" w:before="240" w:after="240"/>
        <w:ind w:left="0" w:right="0" w:firstLine="720"/>
        <w:jc w:val="both"/>
        <w:rPr/>
      </w:pPr>
      <w:r>
        <w:rPr>
          <w:color w:val="000000"/>
        </w:rPr>
        <w:t>“</w:t>
      </w:r>
      <w:r>
        <w:rPr>
          <w:rFonts w:ascii="Times New Roman;serif" w:hAnsi="Times New Roman;serif"/>
          <w:b/>
          <w:i/>
          <w:color w:val="000000"/>
          <w:sz w:val="24"/>
        </w:rPr>
        <w:t>Subsequent Shelf Registration Statement</w:t>
      </w:r>
      <w:r>
        <w:rPr>
          <w:color w:val="000000"/>
        </w:rPr>
        <w:t xml:space="preserve">” </w:t>
      </w:r>
      <w:r>
        <w:rPr>
          <w:rFonts w:ascii="Times New Roman;serif" w:hAnsi="Times New Roman;serif"/>
          <w:b w:val="false"/>
          <w:color w:val="000000"/>
          <w:sz w:val="24"/>
        </w:rPr>
        <w:t xml:space="preserve">shall have the meaning given in </w:t>
      </w:r>
      <w:r>
        <w:rPr>
          <w:rFonts w:ascii="Times New Roman;serif" w:hAnsi="Times New Roman;serif"/>
          <w:b w:val="false"/>
          <w:color w:val="000000"/>
          <w:sz w:val="24"/>
          <w:u w:val="single"/>
        </w:rPr>
        <w:t>Section 2.1.2</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i/>
          <w:color w:val="000000"/>
          <w:sz w:val="24"/>
        </w:rPr>
        <w:t>Transfer</w:t>
      </w:r>
      <w:r>
        <w:rPr>
          <w:color w:val="000000"/>
        </w:rPr>
        <w:t xml:space="preserve">” </w:t>
      </w:r>
      <w:r>
        <w:rPr>
          <w:rFonts w:ascii="Times New Roman;serif" w:hAnsi="Times New Roman;serif"/>
          <w:b w:val="false"/>
          <w:color w:val="000000"/>
          <w:sz w:val="24"/>
        </w:rPr>
        <w:t>shall mean the (a) sale or assignment of, offer to sell, contract or agreement to sell, hypothecate, pledge, grant of any option to purchase or otherwise dispose of or agreement to dispose of, directly or indirectly, or establishment or increase of a put equivalent position or liquidation with respect to or decrease of a call equivalent position within the meaning of Section 16 of the Exchange Act with respect to, any security, (b) entry into any swap or other arrangement that transfers to another, in whole or in part, any of the economic consequences of ownership of any security, whether any such transaction is to be settled by delivery of such securities, in cash or otherwise, or (c) public announcement of any intention to effect any transaction specified in clause (a) or (b).</w:t>
      </w:r>
    </w:p>
    <w:p>
      <w:pPr>
        <w:pStyle w:val="TextBody"/>
        <w:bidi w:val="0"/>
        <w:spacing w:lineRule="auto" w:line="288" w:before="240" w:after="240"/>
        <w:ind w:left="0" w:right="0" w:firstLine="720"/>
        <w:jc w:val="both"/>
        <w:rPr/>
      </w:pPr>
      <w:r>
        <w:rPr>
          <w:color w:val="000000"/>
        </w:rPr>
        <w:t>“</w:t>
      </w:r>
      <w:r>
        <w:rPr>
          <w:rFonts w:ascii="Times New Roman;serif" w:hAnsi="Times New Roman;serif"/>
          <w:b/>
          <w:i/>
          <w:color w:val="000000"/>
          <w:sz w:val="24"/>
        </w:rPr>
        <w:t>Underwriter</w:t>
      </w:r>
      <w:r>
        <w:rPr>
          <w:color w:val="000000"/>
        </w:rPr>
        <w:t xml:space="preserve">” </w:t>
      </w:r>
      <w:r>
        <w:rPr>
          <w:rFonts w:ascii="Times New Roman;serif" w:hAnsi="Times New Roman;serif"/>
          <w:b w:val="false"/>
          <w:color w:val="000000"/>
          <w:sz w:val="24"/>
        </w:rPr>
        <w:t>shall mean a securities dealer who purchases any Registrable Securities as principal in an Underwritten Offering and not as part of such dealer’s market-making activities.</w:t>
      </w:r>
    </w:p>
    <w:p>
      <w:pPr>
        <w:pStyle w:val="TextBody"/>
        <w:bidi w:val="0"/>
        <w:spacing w:lineRule="auto" w:line="288" w:before="240" w:after="240"/>
        <w:ind w:left="0" w:right="0" w:firstLine="720"/>
        <w:jc w:val="both"/>
        <w:rPr/>
      </w:pPr>
      <w:r>
        <w:rPr>
          <w:color w:val="000000"/>
        </w:rPr>
        <w:t>“</w:t>
      </w:r>
      <w:r>
        <w:rPr>
          <w:rFonts w:ascii="Times New Roman;serif" w:hAnsi="Times New Roman;serif"/>
          <w:b/>
          <w:i/>
          <w:color w:val="000000"/>
          <w:sz w:val="24"/>
        </w:rPr>
        <w:t>Underwritten Offering</w:t>
      </w:r>
      <w:r>
        <w:rPr>
          <w:color w:val="000000"/>
        </w:rPr>
        <w:t xml:space="preserve">” </w:t>
      </w:r>
      <w:r>
        <w:rPr>
          <w:rFonts w:ascii="Times New Roman;serif" w:hAnsi="Times New Roman;serif"/>
          <w:b w:val="false"/>
          <w:color w:val="000000"/>
          <w:sz w:val="24"/>
        </w:rPr>
        <w:t>shall mean a Registration in which securities of the Company are sold to an Underwriter in a firm commitment underwriting for distribution to the public.</w:t>
      </w:r>
    </w:p>
    <w:p>
      <w:pPr>
        <w:pStyle w:val="TextBody"/>
        <w:bidi w:val="0"/>
        <w:spacing w:lineRule="auto" w:line="288" w:before="240" w:after="240"/>
        <w:ind w:left="0" w:right="0" w:firstLine="720"/>
        <w:jc w:val="both"/>
        <w:rPr/>
      </w:pPr>
      <w:r>
        <w:rPr>
          <w:color w:val="000000"/>
        </w:rPr>
        <w:t>“</w:t>
      </w:r>
      <w:r>
        <w:rPr>
          <w:rFonts w:ascii="Times New Roman;serif" w:hAnsi="Times New Roman;serif"/>
          <w:b/>
          <w:i/>
          <w:color w:val="000000"/>
          <w:sz w:val="24"/>
        </w:rPr>
        <w:t>Warrants</w:t>
      </w:r>
      <w:r>
        <w:rPr>
          <w:color w:val="000000"/>
        </w:rPr>
        <w:t xml:space="preserve">” </w:t>
      </w:r>
      <w:r>
        <w:rPr>
          <w:rFonts w:ascii="Times New Roman;serif" w:hAnsi="Times New Roman;serif"/>
          <w:b w:val="false"/>
          <w:color w:val="000000"/>
          <w:sz w:val="24"/>
        </w:rPr>
        <w:t>shall have the meaning given in the Recitals.</w:t>
      </w:r>
    </w:p>
    <w:p>
      <w:pPr>
        <w:pStyle w:val="TextBody"/>
        <w:bidi w:val="0"/>
        <w:spacing w:lineRule="auto" w:line="288" w:before="240" w:after="240"/>
        <w:ind w:left="0" w:right="0" w:firstLine="720"/>
        <w:jc w:val="both"/>
        <w:rPr/>
      </w:pPr>
      <w:r>
        <w:rPr>
          <w:color w:val="000000"/>
        </w:rPr>
        <w:t>“</w:t>
      </w:r>
      <w:r>
        <w:rPr>
          <w:rFonts w:ascii="Times New Roman;serif" w:hAnsi="Times New Roman;serif"/>
          <w:b/>
          <w:i/>
          <w:color w:val="000000"/>
          <w:sz w:val="24"/>
        </w:rPr>
        <w:t>Warrant Certificates</w:t>
      </w:r>
      <w:r>
        <w:rPr>
          <w:color w:val="000000"/>
        </w:rPr>
        <w:t xml:space="preserve">” </w:t>
      </w:r>
      <w:r>
        <w:rPr>
          <w:rFonts w:ascii="Times New Roman;serif" w:hAnsi="Times New Roman;serif"/>
          <w:b w:val="false"/>
          <w:color w:val="000000"/>
          <w:sz w:val="24"/>
        </w:rPr>
        <w:t>shall have the meaning given in the Recitals.</w:t>
      </w:r>
    </w:p>
    <w:p>
      <w:pPr>
        <w:pStyle w:val="TextBody"/>
        <w:bidi w:val="0"/>
        <w:spacing w:lineRule="auto" w:line="288" w:before="240" w:after="240"/>
        <w:ind w:left="0" w:right="0" w:firstLine="720"/>
        <w:jc w:val="both"/>
        <w:rPr/>
      </w:pPr>
      <w:r>
        <w:rPr>
          <w:color w:val="000000"/>
        </w:rPr>
        <w:t>“</w:t>
      </w:r>
      <w:r>
        <w:rPr>
          <w:rFonts w:ascii="Times New Roman;serif" w:hAnsi="Times New Roman;serif"/>
          <w:b/>
          <w:i/>
          <w:color w:val="000000"/>
          <w:sz w:val="24"/>
        </w:rPr>
        <w:t>Warrant Shares</w:t>
      </w:r>
      <w:r>
        <w:rPr>
          <w:color w:val="000000"/>
        </w:rPr>
        <w:t xml:space="preserve">” </w:t>
      </w:r>
      <w:r>
        <w:rPr>
          <w:rFonts w:ascii="Times New Roman;serif" w:hAnsi="Times New Roman;serif"/>
          <w:b w:val="false"/>
          <w:color w:val="000000"/>
          <w:sz w:val="24"/>
        </w:rPr>
        <w:t>shall have the meaning given in the Recitals.</w:t>
      </w:r>
    </w:p>
    <w:p>
      <w:pPr>
        <w:pStyle w:val="TextBody"/>
        <w:bidi w:val="0"/>
        <w:spacing w:lineRule="auto" w:line="288" w:before="240" w:after="240"/>
        <w:ind w:left="0" w:right="0" w:firstLine="720"/>
        <w:jc w:val="both"/>
        <w:rPr/>
      </w:pPr>
      <w:r>
        <w:rPr>
          <w:color w:val="000000"/>
        </w:rPr>
        <w:t>“</w:t>
      </w:r>
      <w:r>
        <w:rPr>
          <w:rFonts w:ascii="Times New Roman;serif" w:hAnsi="Times New Roman;serif"/>
          <w:b/>
          <w:i/>
          <w:color w:val="000000"/>
          <w:sz w:val="24"/>
        </w:rPr>
        <w:t>WTI X</w:t>
      </w:r>
      <w:r>
        <w:rPr>
          <w:color w:val="000000"/>
        </w:rPr>
        <w:t xml:space="preserve">” </w:t>
      </w:r>
      <w:r>
        <w:rPr>
          <w:rFonts w:ascii="Times New Roman;serif" w:hAnsi="Times New Roman;serif"/>
          <w:b w:val="false"/>
          <w:color w:val="000000"/>
          <w:sz w:val="24"/>
        </w:rPr>
        <w:t xml:space="preserve">shall have the meaning given in the Recitals. </w:t>
      </w:r>
    </w:p>
    <w:p>
      <w:pPr>
        <w:pStyle w:val="TextBody"/>
        <w:bidi w:val="0"/>
        <w:spacing w:lineRule="auto" w:line="288" w:before="240" w:after="240"/>
        <w:ind w:left="0" w:right="0" w:firstLine="720"/>
        <w:jc w:val="both"/>
        <w:rPr/>
      </w:pPr>
      <w:r>
        <w:rPr>
          <w:color w:val="000000"/>
        </w:rPr>
        <w:t>“</w:t>
      </w:r>
      <w:r>
        <w:rPr>
          <w:rFonts w:ascii="Times New Roman;serif" w:hAnsi="Times New Roman;serif"/>
          <w:b/>
          <w:i/>
          <w:color w:val="000000"/>
          <w:sz w:val="24"/>
        </w:rPr>
        <w:t>WTI XI</w:t>
      </w:r>
      <w:r>
        <w:rPr>
          <w:color w:val="000000"/>
        </w:rPr>
        <w:t xml:space="preserve">” </w:t>
      </w:r>
      <w:r>
        <w:rPr>
          <w:rFonts w:ascii="Times New Roman;serif" w:hAnsi="Times New Roman;serif"/>
          <w:b w:val="false"/>
          <w:color w:val="000000"/>
          <w:sz w:val="24"/>
        </w:rPr>
        <w:t>shall have the meaning given in the Recitals.</w:t>
      </w:r>
    </w:p>
    <w:p>
      <w:pPr>
        <w:pStyle w:val="TextBody"/>
        <w:bidi w:val="0"/>
        <w:spacing w:before="0" w:after="0"/>
        <w:jc w:val="righ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159" name="Frame1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center"/>
        <w:rPr/>
      </w:pPr>
      <w:r>
        <w:rPr>
          <w:rFonts w:ascii="Times New Roman;serif" w:hAnsi="Times New Roman;serif"/>
          <w:b/>
          <w:color w:val="000000"/>
          <w:sz w:val="24"/>
        </w:rPr>
        <w:t>ARTICLE II</w:t>
      </w:r>
      <w:r>
        <w:rPr>
          <w:rFonts w:ascii="Times New Roman;serif" w:hAnsi="Times New Roman;serif"/>
          <w:b/>
          <w:color w:val="000000"/>
          <w:sz w:val="24"/>
          <w:u w:val="single"/>
        </w:rPr>
        <w:br/>
        <w:br/>
        <w:t>REGISTRATIONS AND OFFERINGS</w:t>
      </w:r>
    </w:p>
    <w:p>
      <w:pPr>
        <w:pStyle w:val="TextBody"/>
        <w:bidi w:val="0"/>
        <w:spacing w:lineRule="auto" w:line="288" w:before="0" w:after="24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Shelf Registration</w:t>
      </w:r>
    </w:p>
    <w:p>
      <w:pPr>
        <w:pStyle w:val="TextBody"/>
        <w:bidi w:val="0"/>
        <w:spacing w:lineRule="auto" w:line="288" w:before="240" w:after="240"/>
        <w:ind w:left="0" w:right="0" w:firstLine="1440"/>
        <w:jc w:val="both"/>
        <w:rPr/>
      </w:pPr>
      <w:r>
        <w:rPr>
          <w:rFonts w:ascii="Times New Roman;serif" w:hAnsi="Times New Roman;serif"/>
          <w:b w:val="false"/>
          <w:color w:val="000000"/>
          <w:sz w:val="24"/>
        </w:rPr>
        <w:t>1.</w:t>
      </w:r>
      <w:r>
        <w:rPr>
          <w:color w:val="000000"/>
          <w:u w:val="single"/>
        </w:rPr>
        <w:t xml:space="preserve"> </w:t>
      </w:r>
      <w:r>
        <w:rPr>
          <w:rFonts w:ascii="Times New Roman;serif" w:hAnsi="Times New Roman;serif"/>
          <w:b w:val="false"/>
          <w:color w:val="000000"/>
          <w:sz w:val="24"/>
          <w:u w:val="single"/>
        </w:rPr>
        <w:t>Filing</w:t>
      </w:r>
      <w:r>
        <w:rPr>
          <w:rFonts w:ascii="Times New Roman;serif" w:hAnsi="Times New Roman;serif"/>
          <w:b w:val="false"/>
          <w:color w:val="000000"/>
          <w:sz w:val="24"/>
        </w:rPr>
        <w:t>. The Company shall submit to or file with the Commission a Registration Statement for a Shelf Registration on Form S-3 (the “</w:t>
      </w:r>
      <w:r>
        <w:rPr>
          <w:rFonts w:ascii="Times New Roman;serif" w:hAnsi="Times New Roman;serif"/>
          <w:b/>
          <w:i/>
          <w:color w:val="000000"/>
          <w:sz w:val="24"/>
        </w:rPr>
        <w:t>Form S-3 Shelf</w:t>
      </w:r>
      <w:r>
        <w:rPr>
          <w:color w:val="000000"/>
        </w:rPr>
        <w:t>”</w:t>
      </w:r>
      <w:r>
        <w:rPr>
          <w:rFonts w:ascii="Times New Roman;serif" w:hAnsi="Times New Roman;serif"/>
          <w:b w:val="false"/>
          <w:color w:val="000000"/>
          <w:sz w:val="24"/>
        </w:rPr>
        <w:t xml:space="preserve">), if the Company is then eligible to use a Form S-3 Shelf, in each case, covering the resale of all the Registrable Securities on a delayed or continuous basis and shall use its commercially reasonable efforts to have such Shelf declared effective as soon as practicable after the filing thereof, but no later than the sixtieth (60th) calendar day following the initial filing date thereof. Such Shelf shall provide for the resale of the Registrable Securities included therein pursuant to any reasonable method or combination of reasonable methods legally available to, and requested by, any Holder named therein. The Company shall maintain a Shelf in accordance with the terms hereof, and shall prepare and file with the Commission such amendments, including post-effective amendments, and supplements as may be necessary to keep a Shelf continuously effective, available for use to permit the Holders named therein to sell their Registrable Securities included therein and in compliance with the provisions of the Securities Act until such time as there are no longer any Registrable Securities. The Company’s obligation under this </w:t>
      </w:r>
      <w:r>
        <w:rPr>
          <w:rFonts w:ascii="Times New Roman;serif" w:hAnsi="Times New Roman;serif"/>
          <w:b w:val="false"/>
          <w:color w:val="000000"/>
          <w:sz w:val="24"/>
          <w:u w:val="single"/>
        </w:rPr>
        <w:t>Section 2.1.1</w:t>
      </w:r>
      <w:r>
        <w:rPr>
          <w:rFonts w:ascii="Times New Roman;serif" w:hAnsi="Times New Roman;serif"/>
          <w:b w:val="false"/>
          <w:color w:val="000000"/>
          <w:sz w:val="24"/>
        </w:rPr>
        <w:t xml:space="preserve">, shall, for the avoidance of doubt, be subject to </w:t>
      </w:r>
      <w:r>
        <w:rPr>
          <w:rFonts w:ascii="Times New Roman;serif" w:hAnsi="Times New Roman;serif"/>
          <w:b w:val="false"/>
          <w:color w:val="000000"/>
          <w:sz w:val="24"/>
          <w:u w:val="single"/>
        </w:rPr>
        <w:t>Section 3.4</w:t>
      </w:r>
      <w:r>
        <w:rPr>
          <w:rFonts w:ascii="Times New Roman;serif" w:hAnsi="Times New Roman;serif"/>
          <w:b w:val="false"/>
          <w:color w:val="000000"/>
          <w:sz w:val="24"/>
        </w:rPr>
        <w:t xml:space="preserve">. </w:t>
      </w:r>
    </w:p>
    <w:p>
      <w:pPr>
        <w:pStyle w:val="TextBody"/>
        <w:bidi w:val="0"/>
        <w:spacing w:lineRule="auto" w:line="288" w:before="240" w:after="240"/>
        <w:ind w:left="0" w:right="0" w:firstLine="144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Subsequent Shelf Registration</w:t>
      </w:r>
      <w:r>
        <w:rPr>
          <w:rFonts w:ascii="Times New Roman;serif" w:hAnsi="Times New Roman;serif"/>
          <w:b w:val="false"/>
          <w:color w:val="000000"/>
          <w:sz w:val="24"/>
        </w:rPr>
        <w:t xml:space="preserve">. If any Shelf ceases to be effective under the Securities Act for any reason at any time while Registrable Securities are still outstanding, the Company shall, subject to </w:t>
      </w:r>
      <w:r>
        <w:rPr>
          <w:rFonts w:ascii="Times New Roman;serif" w:hAnsi="Times New Roman;serif"/>
          <w:b w:val="false"/>
          <w:color w:val="000000"/>
          <w:sz w:val="24"/>
          <w:u w:val="single"/>
        </w:rPr>
        <w:t>Section 3.4</w:t>
      </w:r>
      <w:r>
        <w:rPr>
          <w:rFonts w:ascii="Times New Roman;serif" w:hAnsi="Times New Roman;serif"/>
          <w:b w:val="false"/>
          <w:color w:val="000000"/>
          <w:sz w:val="24"/>
        </w:rPr>
        <w:t>, use its reasonable best efforts to as promptly as is reasonably practicable cause such Shelf to again become effective under the Securities Act (including using its reasonable best efforts to obtain the prompt withdrawal of any order suspending the effectiveness of such Shelf), and shall use its reasonable best efforts to as promptly as is reasonably practicable amend such Shelf in a manner reasonably expected to result in the withdrawal of any order suspending the effectiveness of such Shelf or file an additional registration statement as a Shelf Registration (a “</w:t>
      </w:r>
      <w:r>
        <w:rPr>
          <w:rFonts w:ascii="Times New Roman;serif" w:hAnsi="Times New Roman;serif"/>
          <w:b/>
          <w:i/>
          <w:color w:val="000000"/>
          <w:sz w:val="24"/>
        </w:rPr>
        <w:t>Subsequent Shelf Registration Statement</w:t>
      </w:r>
      <w:r>
        <w:rPr>
          <w:color w:val="000000"/>
        </w:rPr>
        <w:t>”</w:t>
      </w:r>
      <w:r>
        <w:rPr>
          <w:rFonts w:ascii="Times New Roman;serif" w:hAnsi="Times New Roman;serif"/>
          <w:b w:val="false"/>
          <w:color w:val="000000"/>
          <w:sz w:val="24"/>
        </w:rPr>
        <w:t xml:space="preserve">) registering the resale of all Registrable Securities (determined as of a reasonably practicable time prior to such filing), and pursuant to any reasonable method or combination of reasonable methods legally available to, and requested by, any Holder named therein. If a Subsequent Shelf Registration Statement is filed, the Company shall use its reasonable best efforts to (i) cause such Subsequent Shelf Registration Statement to become effective under the Securities Act as promptly as is reasonably practicable after the filing thereof (it being agreed that the Subsequent Shelf Registration Statement shall be an automatic shelf registration statement (as defined in Rule 405 promulgated under the Securities Act) if the Company is a well-known seasoned issuer (as defined in Rule 405 promulgated under the Securities Act) at the most recent applicable eligibility determination date) and (ii) keep such Subsequent Shelf Registration Statement continuously effective, available for use to permit the Holders named therein to sell their Registrable Securities included therein and in compliance with the provisions of the Securities Act until such time as there are no longer any Registrable Securities. Any such </w:t>
      </w:r>
    </w:p>
    <w:p>
      <w:pPr>
        <w:pStyle w:val="TextBody"/>
        <w:bidi w:val="0"/>
        <w:spacing w:before="0" w:after="0"/>
        <w:jc w:val="righ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60" name="Frame1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pPr>
      <w:r>
        <w:rPr>
          <w:rFonts w:ascii="Times New Roman;serif" w:hAnsi="Times New Roman;serif"/>
          <w:b w:val="false"/>
          <w:color w:val="000000"/>
          <w:sz w:val="24"/>
        </w:rPr>
        <w:t xml:space="preserve">Subsequent Shelf Registration Statement shall be on Form S-3. The Company’s obligation under this </w:t>
      </w:r>
      <w:r>
        <w:rPr>
          <w:rFonts w:ascii="Times New Roman;serif" w:hAnsi="Times New Roman;serif"/>
          <w:b w:val="false"/>
          <w:color w:val="000000"/>
          <w:sz w:val="24"/>
          <w:u w:val="single"/>
        </w:rPr>
        <w:t>Section 2.1.2</w:t>
      </w:r>
      <w:r>
        <w:rPr>
          <w:rFonts w:ascii="Times New Roman;serif" w:hAnsi="Times New Roman;serif"/>
          <w:b w:val="false"/>
          <w:color w:val="000000"/>
          <w:sz w:val="24"/>
        </w:rPr>
        <w:t xml:space="preserve">, shall, for the avoidance of doubt, be subject to </w:t>
      </w:r>
      <w:r>
        <w:rPr>
          <w:rFonts w:ascii="Times New Roman;serif" w:hAnsi="Times New Roman;serif"/>
          <w:b w:val="false"/>
          <w:color w:val="000000"/>
          <w:sz w:val="24"/>
          <w:u w:val="single"/>
        </w:rPr>
        <w:t>Section 3.4</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Piggyback Registration.</w:t>
      </w:r>
    </w:p>
    <w:p>
      <w:pPr>
        <w:pStyle w:val="TextBody"/>
        <w:bidi w:val="0"/>
        <w:spacing w:lineRule="auto" w:line="288" w:before="240" w:after="240"/>
        <w:ind w:left="0" w:right="0" w:firstLine="144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Piggyback Rights</w:t>
      </w:r>
      <w:r>
        <w:rPr>
          <w:rFonts w:ascii="Times New Roman;serif" w:hAnsi="Times New Roman;serif"/>
          <w:b w:val="false"/>
          <w:color w:val="000000"/>
          <w:sz w:val="24"/>
        </w:rPr>
        <w:t xml:space="preserve">. Subject to </w:t>
      </w:r>
      <w:r>
        <w:rPr>
          <w:rFonts w:ascii="Times New Roman;serif" w:hAnsi="Times New Roman;serif"/>
          <w:b w:val="false"/>
          <w:color w:val="000000"/>
          <w:sz w:val="24"/>
          <w:u w:val="single"/>
        </w:rPr>
        <w:t>Section 2.4.3</w:t>
      </w:r>
      <w:r>
        <w:rPr>
          <w:rFonts w:ascii="Times New Roman;serif" w:hAnsi="Times New Roman;serif"/>
          <w:b w:val="false"/>
          <w:color w:val="000000"/>
          <w:sz w:val="24"/>
        </w:rPr>
        <w:t>, if at any time there is not an effective Registration Statement covering all of the Registerable Securities and the Company proposes to conduct a registered offering of, or if the Company proposes to file a Registration Statement under the Securities Act with respect to the Registration of, equity securities, or securities or other obligations exercisable or exchangeable for, or convertible into equity securities, for its own account or for the account of shareholders of the Company (or by the Company and by the shareholders of the Company, other than a Registration Statement (or any registered offering with respect thereto) (i) filed on Form S-8 or otherwise in connection with any employee stock option or other benefit plan, (ii) pursuant to a Registration Statement on Form S-4 (or similar form that relates to a transaction subject to Rule 145 under the Securities Act or any successor rule thereto), (iii) for an offering of debt that is convertible into equity securities of the Company, or (iv) for a dividend reinvestment plan, then the Company shall give written notice of such proposed offering to all of the Holders of Registrable Securities as soon as practicable but not less than ten (10) days before the anticipated filing date of such Registration Statement, the applicable “red herring” prospectus or prospectus supplement used for marketing such offering, which notice shall (A) describe the amount and type of securities intended to be included in such offering, the intended method(s) of distribution, and the name of the proposed managing Underwriter or Underwriters, if any, in such offering, and (B) offer to all of the Holders of Registrable Securities the opportunity to include in such registered offering such number of Registrable Securities as such Holders may request in writing within five (5) days after receipt of such written notice (such registered offering, a “</w:t>
      </w:r>
      <w:r>
        <w:rPr>
          <w:rFonts w:ascii="Times New Roman;serif" w:hAnsi="Times New Roman;serif"/>
          <w:b/>
          <w:i/>
          <w:color w:val="000000"/>
          <w:sz w:val="24"/>
        </w:rPr>
        <w:t>Piggyback Registration</w:t>
      </w:r>
      <w:r>
        <w:rPr>
          <w:color w:val="000000"/>
        </w:rPr>
        <w:t>”</w:t>
      </w:r>
      <w:r>
        <w:rPr>
          <w:rFonts w:ascii="Times New Roman;serif" w:hAnsi="Times New Roman;serif"/>
          <w:b w:val="false"/>
          <w:color w:val="000000"/>
          <w:sz w:val="24"/>
        </w:rPr>
        <w:t xml:space="preserve">). Subject to </w:t>
      </w:r>
      <w:r>
        <w:rPr>
          <w:rFonts w:ascii="Times New Roman;serif" w:hAnsi="Times New Roman;serif"/>
          <w:b w:val="false"/>
          <w:color w:val="000000"/>
          <w:sz w:val="24"/>
          <w:u w:val="single"/>
        </w:rPr>
        <w:t>Section 2.2.2</w:t>
      </w:r>
      <w:r>
        <w:rPr>
          <w:rFonts w:ascii="Times New Roman;serif" w:hAnsi="Times New Roman;serif"/>
          <w:b w:val="false"/>
          <w:color w:val="000000"/>
          <w:sz w:val="24"/>
        </w:rPr>
        <w:t xml:space="preserve">, the Company shall, in good faith, cause such Registrable Securities to be included in such Piggyback Registration and, if applicable, shall use its reasonable best efforts to cause the managing Underwriter or Underwriters of such Piggyback Registration to permit the Registrable Securities requested by the Holders pursuant to this </w:t>
      </w:r>
      <w:r>
        <w:rPr>
          <w:rFonts w:ascii="Times New Roman;serif" w:hAnsi="Times New Roman;serif"/>
          <w:b w:val="false"/>
          <w:color w:val="000000"/>
          <w:sz w:val="24"/>
          <w:u w:val="single"/>
        </w:rPr>
        <w:t>Section 2.2.1</w:t>
      </w:r>
      <w:r>
        <w:rPr>
          <w:color w:val="000000"/>
        </w:rPr>
        <w:t xml:space="preserve"> </w:t>
      </w:r>
      <w:r>
        <w:rPr>
          <w:rFonts w:ascii="Times New Roman;serif" w:hAnsi="Times New Roman;serif"/>
          <w:b w:val="false"/>
          <w:color w:val="000000"/>
          <w:sz w:val="24"/>
        </w:rPr>
        <w:t>to be included therein on the same terms and conditions as any similar securities of the Company included in such registered offering and to permit the sale or other disposition of such Registrable Securities in accordance with the intended method(s) of distribution thereof. The inclusion of any Holder’s Registrable Securities in a Piggyback Registration shall be subject to such Holder agreement to enter into an underwriting agreement in customary form with the Underwriter(s) selected for such Underwritten Offering.</w:t>
      </w:r>
    </w:p>
    <w:p>
      <w:pPr>
        <w:pStyle w:val="TextBody"/>
        <w:bidi w:val="0"/>
        <w:spacing w:lineRule="auto" w:line="288" w:before="240" w:after="240"/>
        <w:ind w:left="0" w:right="0" w:firstLine="144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Reduction of Piggyback Registration</w:t>
      </w:r>
      <w:r>
        <w:rPr>
          <w:rFonts w:ascii="Times New Roman;serif" w:hAnsi="Times New Roman;serif"/>
          <w:b w:val="false"/>
          <w:color w:val="000000"/>
          <w:sz w:val="24"/>
        </w:rPr>
        <w:t xml:space="preserve">. If the managing Underwriter or Underwriters in an Underwritten Offering that is to be a Piggyback Registration, in good faith, advises the Company and the Holders of Registrable Securities participating in the Piggyback Registration in writing that the dollar amount or number of Common Shares or other equity securities that the Company desires to sell, taken together with (i) the Common Shares or other equity securities, if any, as to which Registration or a registered offering has been demanded pursuant to separate written contractual arrangements with persons or entities other than the Holders of Registrable Securities hereunder, (ii) the Registrable Securities as to which </w:t>
      </w:r>
    </w:p>
    <w:p>
      <w:pPr>
        <w:pStyle w:val="TextBody"/>
        <w:bidi w:val="0"/>
        <w:spacing w:before="0" w:after="0"/>
        <w:jc w:val="righ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161" name="Frame1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pPr>
      <w:r>
        <w:rPr>
          <w:rFonts w:ascii="Times New Roman;serif" w:hAnsi="Times New Roman;serif"/>
          <w:b w:val="false"/>
          <w:color w:val="000000"/>
          <w:sz w:val="24"/>
        </w:rPr>
        <w:t xml:space="preserve">registration has been requested pursuant to </w:t>
      </w:r>
      <w:r>
        <w:rPr>
          <w:rFonts w:ascii="Times New Roman;serif" w:hAnsi="Times New Roman;serif"/>
          <w:b w:val="false"/>
          <w:color w:val="000000"/>
          <w:sz w:val="24"/>
          <w:u w:val="single"/>
        </w:rPr>
        <w:t>Section 2.2</w:t>
      </w:r>
      <w:r>
        <w:rPr>
          <w:color w:val="000000"/>
        </w:rPr>
        <w:t xml:space="preserve"> </w:t>
      </w:r>
      <w:r>
        <w:rPr>
          <w:rFonts w:ascii="Times New Roman;serif" w:hAnsi="Times New Roman;serif"/>
          <w:b w:val="false"/>
          <w:color w:val="000000"/>
          <w:sz w:val="24"/>
        </w:rPr>
        <w:t>hereof, and (iii) the Common Shares or other equity securities, if any, as to which Registration or a registered offering has been requested pursuant to separate written contractual piggy-back registration rights of persons or entities other than the Holders of Registrable Securities hereunder, exceeds the maximum dollar amount or maximum number of equity securities that can be sold in the Underwritten Offering without adversely affecting the proposed offering price, the timing, the distribution method, or the probability of success of such offering (such maximum dollar amount or maximum number of such securities, as applicable, the “</w:t>
      </w:r>
      <w:r>
        <w:rPr>
          <w:rFonts w:ascii="Times New Roman;serif" w:hAnsi="Times New Roman;serif"/>
          <w:b/>
          <w:i/>
          <w:color w:val="000000"/>
          <w:sz w:val="24"/>
        </w:rPr>
        <w:t>Maximum Number of Securities</w:t>
      </w:r>
      <w:r>
        <w:rPr>
          <w:color w:val="000000"/>
        </w:rPr>
        <w:t>”</w:t>
      </w:r>
      <w:r>
        <w:rPr>
          <w:rFonts w:ascii="Times New Roman;serif" w:hAnsi="Times New Roman;serif"/>
          <w:b w:val="false"/>
          <w:color w:val="000000"/>
          <w:sz w:val="24"/>
        </w:rPr>
        <w:t>), then:</w:t>
      </w:r>
    </w:p>
    <w:p>
      <w:pPr>
        <w:pStyle w:val="TextBody"/>
        <w:bidi w:val="0"/>
        <w:spacing w:lineRule="auto" w:line="288" w:before="240" w:after="240"/>
        <w:ind w:left="0" w:right="0" w:firstLine="216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if the Registration or registered offering is undertaken for the Company’s account, the Company shall include in any such Registration or registered offering (A) first, the Common Shares or other equity securities that the Company desires to sell, which can be sold without exceeding the Maximum Number of Securities; (B) second, to the extent that the Maximum Number of Securities has not been reached under the foregoing clause (A), the Registrable Securities of Holders exercising their rights to register their Registrable Securities pursuant to </w:t>
      </w:r>
      <w:r>
        <w:rPr>
          <w:rFonts w:ascii="Times New Roman;serif" w:hAnsi="Times New Roman;serif"/>
          <w:b w:val="false"/>
          <w:color w:val="000000"/>
          <w:sz w:val="24"/>
          <w:u w:val="single"/>
        </w:rPr>
        <w:t>Section 2.2.1</w:t>
      </w:r>
      <w:r>
        <w:rPr>
          <w:rFonts w:ascii="Times New Roman;serif" w:hAnsi="Times New Roman;serif"/>
          <w:b w:val="false"/>
          <w:color w:val="000000"/>
          <w:sz w:val="24"/>
        </w:rPr>
        <w:t>, pro rata, based on the respective number of Registrable Securities that each Holder has requested be included in such Underwritten Offering and the aggregate number of Registrable Securities that the Holders have requested to be included in such Underwritten Offering, which can be sold without exceeding the Maximum Number of Securities; and (C) third, to the extent that the Maximum Number of Securities has not been reached under the foregoing clauses (A) and (B), the Common Shares or other equity securities, if any, as to which Registration or a registered offering has been requested pursuant to separate written contractual piggy-back registration rights of persons or entities other than the Holders of Registrable Securities hereunder, which can be sold without exceeding the Maximum Number of Securities;</w:t>
      </w:r>
    </w:p>
    <w:p>
      <w:pPr>
        <w:pStyle w:val="TextBody"/>
        <w:bidi w:val="0"/>
        <w:spacing w:lineRule="auto" w:line="288" w:before="240" w:after="240"/>
        <w:ind w:left="0" w:right="0" w:firstLine="216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if the Registration or registered offering is pursuant to a demand by persons or entities other than the Holders of Registrable Securities, then the Company shall include in any such Registration or registered offering (A) first, the Common Shares or other equity securities, if any, of such requesting persons or entities, other than the Holders of Registrable Securities, which can be sold without exceeding the Maximum Number of Securities; (B) second, to the extent that the Maximum Number of Securities has not been reached under the foregoing clause (A), the Registrable Securities of Holders exercising their rights to register their Registrable Securities pursuant to </w:t>
      </w:r>
      <w:r>
        <w:rPr>
          <w:rFonts w:ascii="Times New Roman;serif" w:hAnsi="Times New Roman;serif"/>
          <w:b w:val="false"/>
          <w:color w:val="000000"/>
          <w:sz w:val="24"/>
          <w:u w:val="single"/>
        </w:rPr>
        <w:t>Section 2.2.1</w:t>
      </w:r>
      <w:r>
        <w:rPr>
          <w:rFonts w:ascii="Times New Roman;serif" w:hAnsi="Times New Roman;serif"/>
          <w:b w:val="false"/>
          <w:color w:val="000000"/>
          <w:sz w:val="24"/>
        </w:rPr>
        <w:t>, pro rata, based on the respective number of Registrable Securities that each Holder has requested be included in such Underwritten Offering and the aggregate number of Registrable Securities that the Holders have requested to be included in such Underwritten Offering, which can be sold without exceeding the Maximum Number of Securities; (C) third, to the extent that the Maximum Number of Securities has not been reached under the foregoing clauses (A) and (B), the Common Shares or other equity securities that the Company desires to sell, which can be sold without exceeding the Maximum Number of Securities; and (D) fourth, to the extent that the Maximum Number of Securities has not been reached under the foregoing clauses (A), (B) and (C), the Common Shares or other equity securities, if any, as to which Registration or a registered offering has been requested pursuant to separate written contractual piggy-back registration rights of persons or entities other than the Holders of Registrable Securities hereunder, which can be sold without exceeding the Maximum Number of Securities; and</w:t>
      </w:r>
    </w:p>
    <w:p>
      <w:pPr>
        <w:pStyle w:val="TextBody"/>
        <w:bidi w:val="0"/>
        <w:spacing w:before="0" w:after="0"/>
        <w:jc w:val="righ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75260"/>
                <wp:effectExtent l="0" t="0" r="0" b="0"/>
                <wp:wrapNone/>
                <wp:docPr id="162" name="Frame1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firstLine="144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Piggyback Registration Withdrawal</w:t>
      </w:r>
      <w:r>
        <w:rPr>
          <w:rFonts w:ascii="Times New Roman;serif" w:hAnsi="Times New Roman;serif"/>
          <w:b w:val="false"/>
          <w:color w:val="000000"/>
          <w:sz w:val="24"/>
        </w:rPr>
        <w:t xml:space="preserve">. Any Holder of Registrable Securities shall have the right to withdraw from a Piggyback Registration for any or no reason whatsoever upon written notification to the Company and the Underwriter or Underwriters (if any) of his, her or its intention to withdraw from such Piggyback Registration prior to the effectiveness of the Registration Statement filed with the Commission with respect to such Piggyback Registration or, in the case of a Piggyback Registration pursuant to a Shelf Registration, the filing of the applicable “red herring” prospectus or prospectus supplement with respect to such Piggyback Registration used for marketing such transaction. The Company (whether on its own good faith determination or as the result of a request for withdrawal by persons or entities pursuant to separate written contractual obligations) may withdraw a Registration Statement filed with the Commission in connection with a Piggyback Registration (which, in no circumstance, shall include a Shelf) at any time prior to the effectiveness of such Registration Statement. Notwithstanding anything to the contrary in this Agreement (other than </w:t>
      </w:r>
      <w:r>
        <w:rPr>
          <w:rFonts w:ascii="Times New Roman;serif" w:hAnsi="Times New Roman;serif"/>
          <w:b w:val="false"/>
          <w:color w:val="000000"/>
          <w:sz w:val="24"/>
          <w:u w:val="single"/>
        </w:rPr>
        <w:t>Section 2.1.6</w:t>
      </w:r>
      <w:r>
        <w:rPr>
          <w:rFonts w:ascii="Times New Roman;serif" w:hAnsi="Times New Roman;serif"/>
          <w:b w:val="false"/>
          <w:color w:val="000000"/>
          <w:sz w:val="24"/>
        </w:rPr>
        <w:t xml:space="preserve">), the Company shall be responsible for the Registration Expenses incurred in connection with the Piggyback Registration prior to its withdrawal under this </w:t>
      </w:r>
      <w:r>
        <w:rPr>
          <w:rFonts w:ascii="Times New Roman;serif" w:hAnsi="Times New Roman;serif"/>
          <w:b w:val="false"/>
          <w:color w:val="000000"/>
          <w:sz w:val="24"/>
          <w:u w:val="single"/>
        </w:rPr>
        <w:t>Section 2.2.3</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Market Stand-off.</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In connection with any Underwritten Offering of equity securities of the Company (other than a Block Trade or Other Coordinated Offering), if requested by the managing Underwriters, each Holder that is (a) an executive officer, (b) a director or (c) Holder in excess of five percent (5%) of the outstanding Common Shares (and for which it is customary for such a Holder to agree to a lock-up) agrees that it shall not Transfer any Common Shares or other equity securities of the Company (other than those included in such offering pursuant to this Agreement), without the prior written consent of the Company, during the ninety (90)-day period (or such shorter time agreed to by the managing Underwriters) beginning on the date of pricing of such offering, except as expressly permitted by such lock-up agreement or in the event the managing Underwriters otherwise agree by written consent. Each such Holder agrees to execute a customary lock-up agreement in favor of the Underwriters to such effect (in each case on substantially the same terms and conditions as all such Holders). </w:t>
      </w:r>
    </w:p>
    <w:p>
      <w:pPr>
        <w:pStyle w:val="TextBody"/>
        <w:bidi w:val="0"/>
        <w:spacing w:lineRule="auto" w:line="288" w:before="240" w:after="240"/>
        <w:jc w:val="center"/>
        <w:rPr/>
      </w:pPr>
      <w:r>
        <w:rPr>
          <w:rFonts w:ascii="Times New Roman;serif" w:hAnsi="Times New Roman;serif"/>
          <w:b/>
          <w:color w:val="000000"/>
          <w:sz w:val="24"/>
        </w:rPr>
        <w:t>ARTICLE III</w:t>
      </w:r>
      <w:r>
        <w:rPr>
          <w:rFonts w:ascii="Times New Roman;serif" w:hAnsi="Times New Roman;serif"/>
          <w:b/>
          <w:color w:val="000000"/>
          <w:sz w:val="24"/>
          <w:u w:val="single"/>
        </w:rPr>
        <w:br/>
        <w:br/>
        <w:t>COMPANY PROCEDURES</w:t>
      </w:r>
    </w:p>
    <w:p>
      <w:pPr>
        <w:pStyle w:val="TextBody"/>
        <w:bidi w:val="0"/>
        <w:spacing w:lineRule="auto" w:line="288" w:before="0" w:after="24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General Procedures.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 connection with any Shelf and/or Shelf Takedown, the Company shall use its reasonable best efforts to effect such Registration to permit the sale of such Registrable Securities in accordance with the intended plan of distribution thereof, and pursuant thereto the Company shall:</w:t>
      </w:r>
    </w:p>
    <w:p>
      <w:pPr>
        <w:pStyle w:val="TextBody"/>
        <w:bidi w:val="0"/>
        <w:spacing w:lineRule="auto" w:line="288" w:before="240" w:after="240"/>
        <w:ind w:left="0" w:right="0" w:firstLine="1440"/>
        <w:jc w:val="both"/>
        <w:rPr/>
      </w:pPr>
      <w:r>
        <w:rPr>
          <w:rFonts w:ascii="Times New Roman;serif" w:hAnsi="Times New Roman;serif"/>
          <w:b w:val="false"/>
          <w:color w:val="000000"/>
          <w:sz w:val="24"/>
        </w:rPr>
        <w:t>1.</w:t>
      </w:r>
      <w:r>
        <w:rPr>
          <w:rFonts w:ascii="Times New Roman;serif" w:hAnsi="Times New Roman;serif"/>
          <w:b w:val="false"/>
          <w:color w:val="000000"/>
          <w:sz w:val="24"/>
        </w:rPr>
        <w:t xml:space="preserve">prepare and file with the Commission as soon as practicable a Registration Statement with respect to such Registrable Securities and use its reasonable best efforts to cause such Registration Statement to become effective and remain effective until all Registrable Securities covered by such Registration Statement are sold in accordance with the intended plan </w:t>
      </w:r>
    </w:p>
    <w:p>
      <w:pPr>
        <w:pStyle w:val="TextBody"/>
        <w:bidi w:val="0"/>
        <w:spacing w:before="0" w:after="0"/>
        <w:jc w:val="righ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163" name="Frame1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of distribution set forth in such Registration Statement or have ceased to be Registrable Securities;</w:t>
      </w:r>
    </w:p>
    <w:p>
      <w:pPr>
        <w:pStyle w:val="TextBody"/>
        <w:bidi w:val="0"/>
        <w:spacing w:lineRule="auto" w:line="288" w:before="240" w:after="240"/>
        <w:ind w:left="0" w:right="0" w:firstLine="1440"/>
        <w:jc w:val="both"/>
        <w:rPr/>
      </w:pPr>
      <w:r>
        <w:rPr>
          <w:rFonts w:ascii="Times New Roman;serif" w:hAnsi="Times New Roman;serif"/>
          <w:b w:val="false"/>
          <w:color w:val="000000"/>
          <w:sz w:val="24"/>
        </w:rPr>
        <w:t>2.</w:t>
      </w:r>
      <w:r>
        <w:rPr>
          <w:rFonts w:ascii="Times New Roman;serif" w:hAnsi="Times New Roman;serif"/>
          <w:b w:val="false"/>
          <w:color w:val="000000"/>
          <w:sz w:val="24"/>
        </w:rPr>
        <w:t>prepare and file with the Commission such amendments and post-effective amendments to the Registration Statement, and such supplements to the Prospectus, as may be reasonably requested by any Holder that holds at least five percent (5%) of the Registrable Securities registered on such Registration Statement or any Underwriter of Registrable Securities or as may be required by the rules, regulations or instructions applicable to the registration form used by the Company or by the Securities Act or rules and regulations thereunder to keep the Registration Statement effective until all Registrable Securities covered by such Registration Statement are sold in accordance with the intended plan of distribution set forth in such Registration Statement or supplement to the Prospectus or have ceased to be Registrable Securities;</w:t>
      </w:r>
    </w:p>
    <w:p>
      <w:pPr>
        <w:pStyle w:val="TextBody"/>
        <w:bidi w:val="0"/>
        <w:spacing w:lineRule="auto" w:line="288" w:before="240" w:after="240"/>
        <w:ind w:left="0" w:right="0" w:firstLine="1440"/>
        <w:jc w:val="both"/>
        <w:rPr/>
      </w:pPr>
      <w:r>
        <w:rPr>
          <w:rFonts w:ascii="Times New Roman;serif" w:hAnsi="Times New Roman;serif"/>
          <w:b w:val="false"/>
          <w:color w:val="000000"/>
          <w:sz w:val="24"/>
        </w:rPr>
        <w:t>3.</w:t>
      </w:r>
      <w:r>
        <w:rPr>
          <w:rFonts w:ascii="Times New Roman;serif" w:hAnsi="Times New Roman;serif"/>
          <w:b w:val="false"/>
          <w:color w:val="000000"/>
          <w:sz w:val="24"/>
        </w:rPr>
        <w:t xml:space="preserve">prior to filing a Registration Statement or Prospectus, or any amendment or supplement thereto, furnish without charge to the Underwriters, if any, and the Holders of Registrable Securities included in such Registration, and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Underwriters and the Holders of Registrable Securities included in such Registration or the legal counsel for any such Holders may reasonably request in order to facilitate the disposition of the Registrable Securities owned by such Holders;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Company shall have no obligation to furnish any documents publicly filed or furnished with the Commission pursuant to the Electronic Data Gathering, Analysis and Retrieval System (“</w:t>
      </w:r>
      <w:r>
        <w:rPr>
          <w:rFonts w:ascii="Times New Roman;serif" w:hAnsi="Times New Roman;serif"/>
          <w:b/>
          <w:i/>
          <w:color w:val="000000"/>
          <w:sz w:val="24"/>
        </w:rPr>
        <w:t>EDGAR</w:t>
      </w:r>
      <w:r>
        <w:rPr>
          <w:color w:val="000000"/>
        </w:rPr>
        <w:t>”</w:t>
      </w:r>
      <w:r>
        <w:rPr>
          <w:rFonts w:ascii="Times New Roman;serif" w:hAnsi="Times New Roman;serif"/>
          <w:b w:val="false"/>
          <w:color w:val="000000"/>
          <w:sz w:val="24"/>
        </w:rPr>
        <w:t>);</w:t>
      </w:r>
    </w:p>
    <w:p>
      <w:pPr>
        <w:pStyle w:val="TextBody"/>
        <w:bidi w:val="0"/>
        <w:spacing w:lineRule="auto" w:line="288" w:before="240" w:after="240"/>
        <w:ind w:left="0" w:right="0" w:firstLine="1440"/>
        <w:jc w:val="both"/>
        <w:rPr/>
      </w:pPr>
      <w:r>
        <w:rPr>
          <w:rFonts w:ascii="Times New Roman;serif" w:hAnsi="Times New Roman;serif"/>
          <w:b w:val="false"/>
          <w:color w:val="000000"/>
          <w:sz w:val="24"/>
        </w:rPr>
        <w:t>4.</w:t>
      </w:r>
      <w:r>
        <w:rPr>
          <w:rFonts w:ascii="Times New Roman;serif" w:hAnsi="Times New Roman;serif"/>
          <w:b w:val="false"/>
          <w:color w:val="000000"/>
          <w:sz w:val="24"/>
        </w:rPr>
        <w:t xml:space="preserve">prior to any public offering of Registrable Securities, use its reasonable best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request (or provide evidence satisfactory to such Holders that the Registrable Securities are exempt from such registration or qualification) and (ii) take such action necessary to cause such Registrable Securities covered by the Registration Statement to be registered with or approved by such other governmental authorities as may be necessary by virtue of the business and operations of the Company and do any and all other acts and things that may be necessary or advisable to enable the Holders of Registrable Securities included in such Registration Statement to consummate the disposition of such Registrable Securities in such jurisdictions;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the Company shall not be required to qualify generally to do business in any jurisdiction where it would not otherwise be required to qualify or take any action to which it would be subject to general service of process or taxation in any such jurisdiction where it is not then otherwise so subject;</w:t>
      </w:r>
    </w:p>
    <w:p>
      <w:pPr>
        <w:pStyle w:val="TextBody"/>
        <w:bidi w:val="0"/>
        <w:spacing w:lineRule="auto" w:line="288" w:before="240" w:after="240"/>
        <w:ind w:left="0" w:right="0" w:firstLine="1440"/>
        <w:jc w:val="both"/>
        <w:rPr/>
      </w:pPr>
      <w:r>
        <w:rPr>
          <w:rFonts w:ascii="Times New Roman;serif" w:hAnsi="Times New Roman;serif"/>
          <w:b w:val="false"/>
          <w:color w:val="000000"/>
          <w:sz w:val="24"/>
        </w:rPr>
        <w:t>5.</w:t>
      </w:r>
      <w:r>
        <w:rPr>
          <w:rFonts w:ascii="Times New Roman;serif" w:hAnsi="Times New Roman;serif"/>
          <w:b w:val="false"/>
          <w:color w:val="000000"/>
          <w:sz w:val="24"/>
        </w:rPr>
        <w:t>cause all such Registrable Securities to be listed on each securities exchange on which similar securities issued by the Company are then listed;</w:t>
      </w:r>
    </w:p>
    <w:p>
      <w:pPr>
        <w:pStyle w:val="TextBody"/>
        <w:bidi w:val="0"/>
        <w:spacing w:before="0" w:after="0"/>
        <w:jc w:val="righ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164" name="Frame1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firstLine="1440"/>
        <w:jc w:val="both"/>
        <w:rPr/>
      </w:pPr>
      <w:r>
        <w:rPr>
          <w:rFonts w:ascii="Times New Roman;serif" w:hAnsi="Times New Roman;serif"/>
          <w:b w:val="false"/>
          <w:color w:val="000000"/>
          <w:sz w:val="24"/>
        </w:rPr>
        <w:t>6.</w:t>
      </w:r>
      <w:r>
        <w:rPr>
          <w:rFonts w:ascii="Times New Roman;serif" w:hAnsi="Times New Roman;serif"/>
          <w:b w:val="false"/>
          <w:color w:val="000000"/>
          <w:sz w:val="24"/>
        </w:rPr>
        <w:t>(a) provide a transfer agent or warrant agent, as applicable, and registrar for all such Registrable Securities no later than the effective date of such Registration Statement, and (b) cooperate reasonably and promptly with the Holders and the transfer agent to effect the removal of any restrictive legends from the Registrable Securities when legally permissible, including delivery, within three (3) business days of request thereof, of any Company instruction letters and opinions of counsel requested by the transfer agent in connection with the removal of any restrictive legends from the Registrable Securities;</w:t>
      </w:r>
    </w:p>
    <w:p>
      <w:pPr>
        <w:pStyle w:val="TextBody"/>
        <w:bidi w:val="0"/>
        <w:spacing w:lineRule="auto" w:line="288" w:before="240" w:after="240"/>
        <w:ind w:left="0" w:right="0" w:firstLine="1440"/>
        <w:jc w:val="both"/>
        <w:rPr/>
      </w:pPr>
      <w:r>
        <w:rPr>
          <w:rFonts w:ascii="Times New Roman;serif" w:hAnsi="Times New Roman;serif"/>
          <w:b w:val="false"/>
          <w:color w:val="000000"/>
          <w:sz w:val="24"/>
        </w:rPr>
        <w:t>7.</w:t>
      </w:r>
      <w:r>
        <w:rPr>
          <w:rFonts w:ascii="Times New Roman;serif" w:hAnsi="Times New Roman;serif"/>
          <w:b w:val="false"/>
          <w:color w:val="000000"/>
          <w:sz w:val="24"/>
        </w:rPr>
        <w:t>advise each seller of such Registrable Securities, promptly after it shall receive notice or obtain knowledge thereof, of the issuance of any stop order by the Commission suspending the effectiveness of such Registration Statement or the initiation or threatening of any proceeding for such purpose and promptly use its reasonable best efforts to prevent the issuance of any stop order or to obtain its withdrawal if such stop order should be issued;</w:t>
      </w:r>
    </w:p>
    <w:p>
      <w:pPr>
        <w:pStyle w:val="TextBody"/>
        <w:bidi w:val="0"/>
        <w:spacing w:lineRule="auto" w:line="288" w:before="240" w:after="240"/>
        <w:ind w:left="0" w:right="0" w:firstLine="1440"/>
        <w:jc w:val="both"/>
        <w:rPr/>
      </w:pPr>
      <w:r>
        <w:rPr>
          <w:rFonts w:ascii="Times New Roman;serif" w:hAnsi="Times New Roman;serif"/>
          <w:b w:val="false"/>
          <w:color w:val="000000"/>
          <w:sz w:val="24"/>
        </w:rPr>
        <w:t>8.</w:t>
      </w:r>
      <w:r>
        <w:rPr>
          <w:rFonts w:ascii="Times New Roman;serif" w:hAnsi="Times New Roman;serif"/>
          <w:b w:val="false"/>
          <w:color w:val="000000"/>
          <w:sz w:val="24"/>
        </w:rPr>
        <w:t xml:space="preserve">notify the Holders at any time when a Prospectus relating to such Registration Statement is required to be delivered under the Securities Act, of the happening of any event as a result of which the Prospectus included in such Registration Statement, as then in effect, includes a Misstatement, and then to correct such Misstatement as set forth in </w:t>
      </w:r>
      <w:r>
        <w:rPr>
          <w:rFonts w:ascii="Times New Roman;serif" w:hAnsi="Times New Roman;serif"/>
          <w:b w:val="false"/>
          <w:color w:val="000000"/>
          <w:sz w:val="24"/>
          <w:u w:val="single"/>
        </w:rPr>
        <w:t>Section 3.4</w:t>
      </w:r>
      <w:r>
        <w:rPr>
          <w:rFonts w:ascii="Times New Roman;serif" w:hAnsi="Times New Roman;serif"/>
          <w:b w:val="false"/>
          <w:color w:val="000000"/>
          <w:sz w:val="24"/>
        </w:rPr>
        <w:t>;</w:t>
      </w:r>
    </w:p>
    <w:p>
      <w:pPr>
        <w:pStyle w:val="TextBody"/>
        <w:bidi w:val="0"/>
        <w:spacing w:lineRule="auto" w:line="288" w:before="240" w:after="240"/>
        <w:ind w:left="0" w:right="0" w:firstLine="1440"/>
        <w:jc w:val="both"/>
        <w:rPr/>
      </w:pPr>
      <w:r>
        <w:rPr>
          <w:rFonts w:ascii="Times New Roman;serif" w:hAnsi="Times New Roman;serif"/>
          <w:b w:val="false"/>
          <w:color w:val="000000"/>
          <w:sz w:val="24"/>
        </w:rPr>
        <w:t>9.</w:t>
      </w:r>
      <w:r>
        <w:rPr>
          <w:rFonts w:ascii="Times New Roman;serif" w:hAnsi="Times New Roman;serif"/>
          <w:b w:val="false"/>
          <w:color w:val="000000"/>
          <w:sz w:val="24"/>
        </w:rPr>
        <w:t xml:space="preserve">in the event of an Underwritten Offering or sale by a broker, placement agent or sales agent pursuant to such Registration, permit a representative of the Holders, the Underwriters or other financial institutions facilitating such Underwritten Offering or other sale pursuant to such Registration, if any, and any attorney, consultant or accountant retained by such Holders or Underwriter to participate, at each such person’s or entity’s own expense, in the preparation of the Registration Statement, and cause the Company’s officers, directors and employees to supply all information reasonably requested by any such representative, Underwriter, financial institution, attorney, consultant or accountant in connection with the Registration;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such representatives, Underwriters or financial institutions agree to confidentiality arrangements in form and substance reasonably satisfactory to the Company, prior to the release or disclosure of any such information;</w:t>
      </w:r>
    </w:p>
    <w:p>
      <w:pPr>
        <w:pStyle w:val="TextBody"/>
        <w:bidi w:val="0"/>
        <w:spacing w:lineRule="auto" w:line="288" w:before="240" w:after="240"/>
        <w:ind w:left="0" w:right="0" w:firstLine="1440"/>
        <w:jc w:val="both"/>
        <w:rPr/>
      </w:pPr>
      <w:r>
        <w:rPr>
          <w:rFonts w:ascii="Times New Roman;serif" w:hAnsi="Times New Roman;serif"/>
          <w:b w:val="false"/>
          <w:color w:val="000000"/>
          <w:sz w:val="24"/>
        </w:rPr>
        <w:t>10.</w:t>
      </w:r>
      <w:r>
        <w:rPr>
          <w:rFonts w:ascii="Times New Roman;serif" w:hAnsi="Times New Roman;serif"/>
          <w:b w:val="false"/>
          <w:color w:val="000000"/>
          <w:sz w:val="24"/>
        </w:rPr>
        <w:t>obtain a “cold comfort” letter from the Company’s independent registered public accountants in the event of an Underwritten Offering or sale by a broker, placement agent or sales agent pursuant to such Registration (subject to such broker, placement agent or sales agent providing such certification or representation reasonably requested by the Company’s independent registered public accountants and the Company’s counsel) in customary form and covering such matters of the type customarily covered by “cold comfort” letters for a transaction of its type as the managing Underwriter may reasonably request, and reasonably satisfactory to a majority-in-interest of the participating Holders;</w:t>
      </w:r>
    </w:p>
    <w:p>
      <w:pPr>
        <w:pStyle w:val="TextBody"/>
        <w:bidi w:val="0"/>
        <w:spacing w:lineRule="auto" w:line="288" w:before="240" w:after="240"/>
        <w:ind w:left="0" w:right="0" w:firstLine="1440"/>
        <w:jc w:val="both"/>
        <w:rPr/>
      </w:pPr>
      <w:r>
        <w:rPr>
          <w:rFonts w:ascii="Times New Roman;serif" w:hAnsi="Times New Roman;serif"/>
          <w:b w:val="false"/>
          <w:color w:val="000000"/>
          <w:sz w:val="24"/>
        </w:rPr>
        <w:t>11.</w:t>
      </w:r>
      <w:r>
        <w:rPr>
          <w:rFonts w:ascii="Times New Roman;serif" w:hAnsi="Times New Roman;serif"/>
          <w:b w:val="false"/>
          <w:color w:val="000000"/>
          <w:sz w:val="24"/>
        </w:rPr>
        <w:t xml:space="preserve">in the event of an Underwritten Offering or sale by a broker, placement agent or sales agent pursuant to such Registration, on the date the Registrable Securities are delivered for sale pursuant to such Registration, obtain an opinion, dated such date, of counsel representing the Company for the purposes of such Registration, addressed to the participating Holders, the broker, placement agents or sales agent, if any, and the Underwriters, if any, covering such legal matters with respect to the Registration in respect of which such opinion is </w:t>
      </w:r>
    </w:p>
    <w:p>
      <w:pPr>
        <w:pStyle w:val="TextBody"/>
        <w:bidi w:val="0"/>
        <w:spacing w:before="0" w:after="0"/>
        <w:jc w:val="righ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75260"/>
                <wp:effectExtent l="0" t="0" r="0" b="0"/>
                <wp:wrapNone/>
                <wp:docPr id="165" name="Frame1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being given as the participating Holders, broker, placement agent, sales agent or Underwriter may reasonably request and as are customarily included in such opinions and negative assurance letters;</w:t>
      </w:r>
    </w:p>
    <w:p>
      <w:pPr>
        <w:pStyle w:val="TextBody"/>
        <w:bidi w:val="0"/>
        <w:spacing w:lineRule="auto" w:line="288" w:before="240" w:after="240"/>
        <w:ind w:left="0" w:right="0" w:firstLine="1440"/>
        <w:jc w:val="both"/>
        <w:rPr/>
      </w:pPr>
      <w:r>
        <w:rPr>
          <w:rFonts w:ascii="Times New Roman;serif" w:hAnsi="Times New Roman;serif"/>
          <w:b w:val="false"/>
          <w:color w:val="000000"/>
          <w:sz w:val="24"/>
        </w:rPr>
        <w:t>12.</w:t>
      </w:r>
      <w:r>
        <w:rPr>
          <w:rFonts w:ascii="Times New Roman;serif" w:hAnsi="Times New Roman;serif"/>
          <w:b w:val="false"/>
          <w:color w:val="000000"/>
          <w:sz w:val="24"/>
        </w:rPr>
        <w:t>in the event of any Underwritten Offering or sale by a broker, placement agent or sales agent pursuant to such Registration, enter into and perform its obligations under an underwriting or other purchase or sales agreement, in usual and customary form, with the managing Underwriter or the broker, placement agent or sales agent of such offering or sale;</w:t>
      </w:r>
    </w:p>
    <w:p>
      <w:pPr>
        <w:pStyle w:val="TextBody"/>
        <w:bidi w:val="0"/>
        <w:spacing w:lineRule="auto" w:line="288" w:before="240" w:after="240"/>
        <w:ind w:left="0" w:right="0" w:firstLine="1440"/>
        <w:jc w:val="both"/>
        <w:rPr/>
      </w:pPr>
      <w:r>
        <w:rPr>
          <w:rFonts w:ascii="Times New Roman;serif" w:hAnsi="Times New Roman;serif"/>
          <w:b w:val="false"/>
          <w:color w:val="000000"/>
          <w:sz w:val="24"/>
        </w:rPr>
        <w:t>13.</w:t>
      </w:r>
      <w:r>
        <w:rPr>
          <w:rFonts w:ascii="Times New Roman;serif" w:hAnsi="Times New Roman;serif"/>
          <w:b w:val="false"/>
          <w:color w:val="000000"/>
          <w:sz w:val="24"/>
        </w:rPr>
        <w:t>make available to its security holders, as soon as reasonably practicable, an earnings statement covering the period of at least twelve (12) months beginning with the first day of the Company’s first full calendar quarter after the effective date of the Registration Statement which satisfies the provisions of Section 11(a) of the Securities Act and Rule 158 thereunder (or any successor rule then in effect);</w:t>
      </w:r>
    </w:p>
    <w:p>
      <w:pPr>
        <w:pStyle w:val="TextBody"/>
        <w:bidi w:val="0"/>
        <w:spacing w:lineRule="auto" w:line="288" w:before="240" w:after="240"/>
        <w:ind w:left="0" w:right="0" w:firstLine="1440"/>
        <w:jc w:val="both"/>
        <w:rPr/>
      </w:pPr>
      <w:r>
        <w:rPr>
          <w:rFonts w:ascii="Times New Roman;serif" w:hAnsi="Times New Roman;serif"/>
          <w:b w:val="false"/>
          <w:color w:val="000000"/>
          <w:sz w:val="24"/>
        </w:rPr>
        <w:t>14.</w:t>
      </w:r>
      <w:r>
        <w:rPr>
          <w:rFonts w:ascii="Times New Roman;serif" w:hAnsi="Times New Roman;serif"/>
          <w:b w:val="false"/>
          <w:color w:val="000000"/>
          <w:sz w:val="24"/>
        </w:rPr>
        <w:t xml:space="preserve">with respect to an Underwritten Offering pursuant to </w:t>
      </w:r>
      <w:r>
        <w:rPr>
          <w:rFonts w:ascii="Times New Roman;serif" w:hAnsi="Times New Roman;serif"/>
          <w:b w:val="false"/>
          <w:color w:val="000000"/>
          <w:sz w:val="24"/>
          <w:u w:val="single"/>
        </w:rPr>
        <w:t>Section 2.1.4</w:t>
      </w:r>
      <w:r>
        <w:rPr>
          <w:rFonts w:ascii="Times New Roman;serif" w:hAnsi="Times New Roman;serif"/>
          <w:b w:val="false"/>
          <w:color w:val="000000"/>
          <w:sz w:val="24"/>
        </w:rPr>
        <w:t>, use its reasonable best efforts to make available senior executives of the Company to participate in customary “road show” presentations that may be reasonably requested by the Underwriter in such Underwritten Offering; and</w:t>
      </w:r>
    </w:p>
    <w:p>
      <w:pPr>
        <w:pStyle w:val="TextBody"/>
        <w:bidi w:val="0"/>
        <w:spacing w:lineRule="auto" w:line="288" w:before="240" w:after="240"/>
        <w:ind w:left="0" w:right="0" w:firstLine="1440"/>
        <w:jc w:val="both"/>
        <w:rPr/>
      </w:pPr>
      <w:r>
        <w:rPr>
          <w:rFonts w:ascii="Times New Roman;serif" w:hAnsi="Times New Roman;serif"/>
          <w:b w:val="false"/>
          <w:color w:val="000000"/>
          <w:sz w:val="24"/>
        </w:rPr>
        <w:t>15.</w:t>
      </w:r>
      <w:r>
        <w:rPr>
          <w:rFonts w:ascii="Times New Roman;serif" w:hAnsi="Times New Roman;serif"/>
          <w:b w:val="false"/>
          <w:color w:val="000000"/>
          <w:sz w:val="24"/>
        </w:rPr>
        <w:t>otherwise, in good faith, cooperate reasonably with, and take such customary actions as may reasonably be requested by the participating Holders, consistent with the terms of this Agreement, in connection with such Registration.</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Notwithstanding the foregoing, the Company shall not be required to provide any documents or information to an Underwriter, broker, sales agent or placement agent if such Underwriter, broker, sales agent or placement agent has not then been named with respect to the applicable Underwritten Offering or other offering involving a registration as an Underwriter, broker, sales agent or placement agent, as applicable.</w:t>
      </w:r>
    </w:p>
    <w:p>
      <w:pPr>
        <w:pStyle w:val="TextBody"/>
        <w:bidi w:val="0"/>
        <w:spacing w:lineRule="auto" w:line="288" w:before="0" w:after="240"/>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Registration Expenses.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Registration Expenses of all Registrations shall be borne by the Company. It is acknowledged by the Holders that the Holders shall bear all incremental selling expenses relating to the sale of Registrable Securities, such as Underwriters’ commissions and discounts, brokerage fees and, other than as set forth in the definition of “Registration Expenses,” all fees and expenses of any legal counsel representing the Holders.</w:t>
      </w:r>
    </w:p>
    <w:p>
      <w:pPr>
        <w:pStyle w:val="TextBody"/>
        <w:bidi w:val="0"/>
        <w:spacing w:lineRule="auto" w:line="288" w:before="0" w:after="240"/>
        <w:ind w:left="0" w:right="0" w:firstLine="72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Requirements for Participation in Registration Statement in Offerings.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Notwithstanding anything in this Agreement to the contrary, if any Holder does not provide the Company with its Holder Information as requested, the Company may exclude such Holder’s Registrable Securities from the applicable Registration Statement or Prospectus if the Company determines, based on the advice of counsel, that it is necessary or advisable to include such information in the applicable Registration Statement or Prospectus and such Holder continues thereafter to withhold such information. In addition, no person or entity may participate in any </w:t>
      </w:r>
    </w:p>
    <w:p>
      <w:pPr>
        <w:pStyle w:val="TextBody"/>
        <w:bidi w:val="0"/>
        <w:spacing w:before="0" w:after="0"/>
        <w:jc w:val="righ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75260"/>
                <wp:effectExtent l="0" t="0" r="0" b="0"/>
                <wp:wrapNone/>
                <wp:docPr id="166" name="Frame1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Underwritten Offering or other offering for equity securities of the Company pursuant to a Registration initiated by the Company hereunder unless such person or entity (i) agrees to sell such person’s or entity’s securities on the basis provided in any underwriting, sales, distribution or placement arrangements approved by the Company and (ii) completes and executes all customary questionnaires, powers of attorney, indemnities, lock-up agreements, underwriting or other agreements and other customary documents as may be reasonably required under the terms of such underwriting, sales, distribution or placement arrangements. For the avoidance of doubt, the exclusion of a Holder’s Registrable Securities as a result of this </w:t>
      </w:r>
      <w:r>
        <w:rPr>
          <w:rFonts w:ascii="Times New Roman;serif" w:hAnsi="Times New Roman;serif"/>
          <w:b w:val="false"/>
          <w:color w:val="000000"/>
          <w:sz w:val="24"/>
          <w:u w:val="single"/>
        </w:rPr>
        <w:t>Section 3.3</w:t>
      </w:r>
      <w:r>
        <w:rPr>
          <w:color w:val="000000"/>
        </w:rPr>
        <w:t xml:space="preserve"> </w:t>
      </w:r>
      <w:r>
        <w:rPr>
          <w:rFonts w:ascii="Times New Roman;serif" w:hAnsi="Times New Roman;serif"/>
          <w:b w:val="false"/>
          <w:color w:val="000000"/>
          <w:sz w:val="24"/>
        </w:rPr>
        <w:t xml:space="preserve">shall not affect the registration of the other Registrable Securities to be included in such Registration. </w:t>
      </w:r>
    </w:p>
    <w:p>
      <w:pPr>
        <w:pStyle w:val="TextBody"/>
        <w:bidi w:val="0"/>
        <w:spacing w:lineRule="auto" w:line="288" w:before="0" w:after="240"/>
        <w:ind w:left="0" w:right="0" w:firstLine="72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Suspension of Sales; Adverse Disclosure; Restrictions on Registration Rights</w:t>
      </w:r>
    </w:p>
    <w:p>
      <w:pPr>
        <w:pStyle w:val="TextBody"/>
        <w:bidi w:val="0"/>
        <w:spacing w:lineRule="auto" w:line="288" w:before="240" w:after="240"/>
        <w:ind w:left="0" w:right="0" w:firstLine="1440"/>
        <w:jc w:val="both"/>
        <w:rPr/>
      </w:pPr>
      <w:r>
        <w:rPr>
          <w:rFonts w:ascii="Times New Roman;serif" w:hAnsi="Times New Roman;serif"/>
          <w:b w:val="false"/>
          <w:color w:val="000000"/>
          <w:sz w:val="24"/>
        </w:rPr>
        <w:t>1.</w:t>
      </w:r>
      <w:r>
        <w:rPr>
          <w:rFonts w:ascii="Times New Roman;serif" w:hAnsi="Times New Roman;serif"/>
          <w:b w:val="false"/>
          <w:color w:val="000000"/>
          <w:sz w:val="24"/>
        </w:rPr>
        <w:t xml:space="preserve">Upon receipt of written notice from the Company that a Registration Statement or Prospectus contains a Misstatement, each of the Holders shall forthwith discontinue disposition of Registrable Securities until it has received copies of a supplemented or amended Prospectus correcting the Misstatement (it being understood that the Company hereby covenants to prepare and file such supplement or amendment as soon as reasonably practicable after the time of such notice), or until it is advised in writing by the Company that the use of the Prospectus may be resumed. </w:t>
      </w:r>
    </w:p>
    <w:p>
      <w:pPr>
        <w:pStyle w:val="TextBody"/>
        <w:bidi w:val="0"/>
        <w:spacing w:lineRule="auto" w:line="288" w:before="240" w:after="240"/>
        <w:ind w:left="0" w:right="0" w:firstLine="1440"/>
        <w:jc w:val="both"/>
        <w:rPr/>
      </w:pPr>
      <w:r>
        <w:rPr>
          <w:rFonts w:ascii="Times New Roman;serif" w:hAnsi="Times New Roman;serif"/>
          <w:b w:val="false"/>
          <w:color w:val="000000"/>
          <w:sz w:val="24"/>
        </w:rPr>
        <w:t>2.</w:t>
      </w:r>
      <w:r>
        <w:rPr>
          <w:rFonts w:ascii="Times New Roman;serif" w:hAnsi="Times New Roman;serif"/>
          <w:b w:val="false"/>
          <w:color w:val="000000"/>
          <w:sz w:val="24"/>
        </w:rPr>
        <w:t xml:space="preserve">Subject to </w:t>
      </w:r>
      <w:r>
        <w:rPr>
          <w:rFonts w:ascii="Times New Roman;serif" w:hAnsi="Times New Roman;serif"/>
          <w:b w:val="false"/>
          <w:color w:val="000000"/>
          <w:sz w:val="24"/>
          <w:u w:val="single"/>
        </w:rPr>
        <w:t>Section 3.4.4</w:t>
      </w:r>
      <w:r>
        <w:rPr>
          <w:rFonts w:ascii="Times New Roman;serif" w:hAnsi="Times New Roman;serif"/>
          <w:b w:val="false"/>
          <w:color w:val="000000"/>
          <w:sz w:val="24"/>
        </w:rPr>
        <w:t xml:space="preserve">, if the filing, initial effectiveness or continued use of a Registration Statement in respect of any Registration at any time would (a) require the Company to make an Adverse Disclosure, (b) require the inclusion in such Registration Statement of financial statements that are unavailable to the Company for reasons beyond the Company’s control, or (c) in the good faith judgment of the majority of the Board such Registration, be detrimental to the Company and the majority of the Board concludes as a result that it is essential to defer such filing, initial effectiveness or continued use at such time, the Company may, upon giving prompt written notice of such action to the Holders (which notice shall not specify the nature of the event giving rise to such delay or suspension), delay the filing or initial effectiveness of, or suspend use of, such Registration Statement for the shortest period of time determined in good faith by the Company to be necessary for such purpose. In the event the Company exercises its rights under this </w:t>
      </w:r>
      <w:r>
        <w:rPr>
          <w:rFonts w:ascii="Times New Roman;serif" w:hAnsi="Times New Roman;serif"/>
          <w:b w:val="false"/>
          <w:color w:val="000000"/>
          <w:sz w:val="24"/>
          <w:u w:val="single"/>
        </w:rPr>
        <w:t>Section 3.4.2</w:t>
      </w:r>
      <w:r>
        <w:rPr>
          <w:rFonts w:ascii="Times New Roman;serif" w:hAnsi="Times New Roman;serif"/>
          <w:b w:val="false"/>
          <w:color w:val="000000"/>
          <w:sz w:val="24"/>
        </w:rPr>
        <w:t>, the Holders agree to suspend, immediately upon their receipt of the notice referred to above, their use of the Prospectus relating to any Registration in connection with any sale or offer to sell Registrable Securities until such Holder receives written notice from the Company that such sales or offers of Registrable Securities may be resumed, and in each case maintain the confidentiality of such notice and its contents.</w:t>
      </w:r>
    </w:p>
    <w:p>
      <w:pPr>
        <w:pStyle w:val="TextBody"/>
        <w:bidi w:val="0"/>
        <w:spacing w:lineRule="auto" w:line="288" w:before="240" w:after="240"/>
        <w:ind w:left="0" w:right="0" w:firstLine="1440"/>
        <w:jc w:val="both"/>
        <w:rPr/>
      </w:pPr>
      <w:r>
        <w:rPr>
          <w:rFonts w:ascii="Times New Roman;serif" w:hAnsi="Times New Roman;serif"/>
          <w:b w:val="false"/>
          <w:color w:val="000000"/>
          <w:sz w:val="24"/>
        </w:rPr>
        <w:t>3.</w:t>
      </w:r>
      <w:r>
        <w:rPr>
          <w:rFonts w:ascii="Times New Roman;serif" w:hAnsi="Times New Roman;serif"/>
          <w:b w:val="false"/>
          <w:color w:val="000000"/>
          <w:sz w:val="24"/>
        </w:rPr>
        <w:t>[Reserved]</w:t>
      </w:r>
    </w:p>
    <w:p>
      <w:pPr>
        <w:pStyle w:val="TextBody"/>
        <w:bidi w:val="0"/>
        <w:spacing w:lineRule="auto" w:line="288" w:before="240" w:after="240"/>
        <w:ind w:left="0" w:right="0" w:firstLine="1440"/>
        <w:jc w:val="both"/>
        <w:rPr/>
      </w:pPr>
      <w:r>
        <w:rPr>
          <w:rFonts w:ascii="Times New Roman;serif" w:hAnsi="Times New Roman;serif"/>
          <w:b w:val="false"/>
          <w:color w:val="000000"/>
          <w:sz w:val="24"/>
        </w:rPr>
        <w:t>4.</w:t>
      </w:r>
      <w:r>
        <w:rPr>
          <w:rFonts w:ascii="Times New Roman;serif" w:hAnsi="Times New Roman;serif"/>
          <w:b w:val="false"/>
          <w:color w:val="000000"/>
          <w:sz w:val="24"/>
        </w:rPr>
        <w:t xml:space="preserve">The right to delay or suspend any filing, initial effectiveness or continued use of a Registration Statement pursuant to </w:t>
      </w:r>
      <w:r>
        <w:rPr>
          <w:rFonts w:ascii="Times New Roman;serif" w:hAnsi="Times New Roman;serif"/>
          <w:b w:val="false"/>
          <w:color w:val="000000"/>
          <w:sz w:val="24"/>
          <w:u w:val="single"/>
        </w:rPr>
        <w:t>Section 3.4.2</w:t>
      </w:r>
      <w:r>
        <w:rPr>
          <w:color w:val="000000"/>
        </w:rPr>
        <w:t xml:space="preserve"> </w:t>
      </w:r>
      <w:r>
        <w:rPr>
          <w:rFonts w:ascii="Times New Roman;serif" w:hAnsi="Times New Roman;serif"/>
          <w:b w:val="false"/>
          <w:color w:val="000000"/>
          <w:sz w:val="24"/>
        </w:rPr>
        <w:t>shall be exercised by the Company, in the aggregate, for not more than ninety (90) consecutive calendar days or more than one hundred and twenty (120) total calendar days in each case, during any twelve (12)-month period.</w:t>
      </w:r>
    </w:p>
    <w:p>
      <w:pPr>
        <w:pStyle w:val="TextBody"/>
        <w:bidi w:val="0"/>
        <w:spacing w:lineRule="auto" w:line="288" w:before="0" w:after="240"/>
        <w:ind w:left="0" w:right="0" w:firstLine="72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Reporting Obligations.</w:t>
      </w:r>
    </w:p>
    <w:p>
      <w:pPr>
        <w:pStyle w:val="TextBody"/>
        <w:bidi w:val="0"/>
        <w:spacing w:before="0" w:after="0"/>
        <w:jc w:val="righ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75260"/>
                <wp:effectExtent l="0" t="0" r="0" b="0"/>
                <wp:wrapNone/>
                <wp:docPr id="167" name="Frame1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As long as any Holder shall own Registrable Securities, the Company, at all times while it shall be a reporting company under the Exchange Act, covenants to file timely (or obtain extensions in respect thereof and file within the applicable grace period) all reports required to be filed by the Company after the date hereof pursuant to Sections 13(a) or 15(d) of the Exchange Act and to promptly furnish the Holders with true and complete copies of all such filings;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any documents publicly filed or furnished with the Commission pursuant to EDGAR shall be deemed to have been furnished or delivered to the Holders pursuant to this </w:t>
      </w:r>
      <w:r>
        <w:rPr>
          <w:rFonts w:ascii="Times New Roman;serif" w:hAnsi="Times New Roman;serif"/>
          <w:b w:val="false"/>
          <w:color w:val="000000"/>
          <w:sz w:val="24"/>
          <w:u w:val="single"/>
        </w:rPr>
        <w:t>Section 3.5</w:t>
      </w:r>
      <w:r>
        <w:rPr>
          <w:rFonts w:ascii="Times New Roman;serif" w:hAnsi="Times New Roman;serif"/>
          <w:b w:val="false"/>
          <w:color w:val="000000"/>
          <w:sz w:val="24"/>
        </w:rPr>
        <w:t>. The Company further covenants that it shall take such further action as any Holder may reasonably request, all to the extent required from time to time to enable such Holder to sell Common Shares held by such Holder without registration under the Securities Act within the limitation of the exemptions provided by Rule 144 promulgated under the Securities Act (or any successor rule then in effect). Upon the request of any Holder, the Company shall deliver to such Holder a written certification of a duly authorized officer as to whether it has complied with such requirements.</w:t>
      </w:r>
    </w:p>
    <w:p>
      <w:pPr>
        <w:pStyle w:val="TextBody"/>
        <w:bidi w:val="0"/>
        <w:spacing w:lineRule="auto" w:line="288" w:before="240" w:after="240"/>
        <w:jc w:val="center"/>
        <w:rPr/>
      </w:pPr>
      <w:r>
        <w:rPr>
          <w:rFonts w:ascii="Times New Roman;serif" w:hAnsi="Times New Roman;serif"/>
          <w:b/>
          <w:color w:val="000000"/>
          <w:sz w:val="24"/>
        </w:rPr>
        <w:t>ARTICLE IV</w:t>
      </w:r>
      <w:r>
        <w:rPr>
          <w:rFonts w:ascii="Times New Roman;serif" w:hAnsi="Times New Roman;serif"/>
          <w:b/>
          <w:color w:val="000000"/>
          <w:sz w:val="24"/>
          <w:u w:val="single"/>
        </w:rPr>
        <w:br/>
        <w:br/>
        <w:t>INDEMNIFICATION AND CONTRIBUTION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Indemnification.</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1.</w:t>
      </w:r>
      <w:r>
        <w:rPr>
          <w:color w:val="000000"/>
        </w:rPr>
        <w:t xml:space="preserve"> </w:t>
      </w:r>
      <w:r>
        <w:rPr>
          <w:rFonts w:ascii="Times New Roman;serif" w:hAnsi="Times New Roman;serif"/>
          <w:b w:val="false"/>
          <w:color w:val="000000"/>
          <w:sz w:val="24"/>
        </w:rPr>
        <w:t>The Company agrees to indemnify, to the extent permitted by law, each Holder of Registrable Securities, its officers, directors and agents and each person or entity who controls such Holder (within the meaning of the Securities Act), against all losses, claims, damages, liabilities and out-of-pocket expenses (including, without limitation, reasonable and documented outside attorneys’ fees) resulting from any untrue or alleged untrue statement of material fact contained in or incorporated by reference in any Registration Statement, Prospectus or preliminary Prospectus or any amendment thereof or supplement thereto or any omission or alleged omission of a material fact required to be stated therein or necessary to make the statements therein not misleading, except insofar as the same are (i) caused by or contained in any information or affidavit so furnished in writing to the Company by such Holder expressly for use therein or (ii) due to the failure of any Holder to furnish Holder Information (as defined below). The Company shall indemnify the Underwriters, their officers and directors and each person or entity that controls such Underwriters (within the meaning of the Securities Act) to the same extent as provided in the foregoing with respect to the indemnification of the Holder.</w:t>
      </w:r>
    </w:p>
    <w:p>
      <w:pPr>
        <w:pStyle w:val="TextBody"/>
        <w:bidi w:val="0"/>
        <w:spacing w:lineRule="auto" w:line="288" w:before="240" w:after="240"/>
        <w:ind w:left="0" w:right="0" w:firstLine="1440"/>
        <w:jc w:val="both"/>
        <w:rPr/>
      </w:pPr>
      <w:r>
        <w:rPr>
          <w:rFonts w:ascii="Times New Roman;serif" w:hAnsi="Times New Roman;serif"/>
          <w:b w:val="false"/>
          <w:color w:val="000000"/>
          <w:sz w:val="24"/>
        </w:rPr>
        <w:t>2.</w:t>
      </w:r>
      <w:r>
        <w:rPr>
          <w:rFonts w:ascii="Times New Roman;serif" w:hAnsi="Times New Roman;serif"/>
          <w:b w:val="false"/>
          <w:color w:val="000000"/>
          <w:sz w:val="24"/>
        </w:rPr>
        <w:t>In connection with any Registration Statement in which a Holder of Registrable Securities is participating, such Holder shall furnish (or cause to be furnished) to the Company in writing such information and affidavits as the Company reasonably requests for use in connection with any such Registration Statement or Prospectus (the “</w:t>
      </w:r>
      <w:r>
        <w:rPr>
          <w:rFonts w:ascii="Times New Roman;serif" w:hAnsi="Times New Roman;serif"/>
          <w:b/>
          <w:i/>
          <w:color w:val="000000"/>
          <w:sz w:val="24"/>
        </w:rPr>
        <w:t>Holder Information</w:t>
      </w:r>
      <w:r>
        <w:rPr>
          <w:color w:val="000000"/>
        </w:rPr>
        <w:t>”</w:t>
      </w:r>
      <w:r>
        <w:rPr>
          <w:rFonts w:ascii="Times New Roman;serif" w:hAnsi="Times New Roman;serif"/>
          <w:b w:val="false"/>
          <w:color w:val="000000"/>
          <w:sz w:val="24"/>
        </w:rPr>
        <w:t xml:space="preserve">) and, to the extent permitted by law, shall indemnify the Company, its directors, officers and agents and each person or entity who controls the Company (within the meaning of the Securities Act) against all losses, claims, damages, liabilities and out-of-pocket expenses (including, without limitation, reasonable and documented outside attorneys’ fees) resulting from any untrue or alleged untrue statement of material fact contained or incorporated by reference in any Registration Statement, Prospectus or preliminary Prospectus or any amendment thereof or supplement thereto or any omission or alleged omission of a material fact required to be stated therein or necessary to make the statements therein not misleading, but only to the extent that such untrue statement is contained in (or not contained in, in the case of an omission) any </w:t>
      </w:r>
    </w:p>
    <w:p>
      <w:pPr>
        <w:pStyle w:val="TextBody"/>
        <w:bidi w:val="0"/>
        <w:spacing w:before="0" w:after="0"/>
        <w:jc w:val="righ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75260"/>
                <wp:effectExtent l="0" t="0" r="0" b="0"/>
                <wp:wrapNone/>
                <wp:docPr id="168" name="Frame1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pPr>
      <w:r>
        <w:rPr>
          <w:rFonts w:ascii="Times New Roman;serif" w:hAnsi="Times New Roman;serif"/>
          <w:b w:val="false"/>
          <w:color w:val="000000"/>
          <w:sz w:val="24"/>
        </w:rPr>
        <w:t xml:space="preserve">information or affidavit so furnished in writing by or on behalf of such Holder expressly for use therein; </w:t>
      </w:r>
      <w:r>
        <w:rPr>
          <w:rFonts w:ascii="Times New Roman;serif" w:hAnsi="Times New Roman;serif"/>
          <w:b w:val="false"/>
          <w:color w:val="000000"/>
          <w:sz w:val="24"/>
          <w:u w:val="single"/>
        </w:rPr>
        <w:t>provided</w:t>
      </w:r>
      <w:r>
        <w:rPr>
          <w:rFonts w:ascii="Times New Roman;serif" w:hAnsi="Times New Roman;serif"/>
          <w:b w:val="false"/>
          <w:color w:val="000000"/>
          <w:sz w:val="24"/>
        </w:rPr>
        <w:t>,</w:t>
      </w:r>
      <w:r>
        <w:rPr>
          <w:color w:val="000000"/>
          <w:u w:val="single"/>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the obligation to indemnify shall be several, not joint and several, among such Holders of Registrable Securities, and the liability of each such Holder of Registrable Securities shall be in proportion to and limited to the net proceeds received by such Holder from the sale of Registrable Securities pursuant to such Registration Statement. The Holders of Registrable Securities shall indemnify the Underwriters, their officers, directors and each person or entity who controls such Underwriters (within the meaning of the Securities Act) to the same extent as provided in the foregoing with respect to indemnification of the Company. </w:t>
      </w:r>
    </w:p>
    <w:p>
      <w:pPr>
        <w:pStyle w:val="TextBody"/>
        <w:bidi w:val="0"/>
        <w:spacing w:lineRule="auto" w:line="288" w:before="240" w:after="240"/>
        <w:ind w:left="0" w:right="0" w:firstLine="1440"/>
        <w:jc w:val="both"/>
        <w:rPr/>
      </w:pPr>
      <w:r>
        <w:rPr>
          <w:rFonts w:ascii="Times New Roman;serif" w:hAnsi="Times New Roman;serif"/>
          <w:b w:val="false"/>
          <w:color w:val="000000"/>
          <w:sz w:val="24"/>
        </w:rPr>
        <w:t>3.</w:t>
      </w:r>
      <w:r>
        <w:rPr>
          <w:rFonts w:ascii="Times New Roman;serif" w:hAnsi="Times New Roman;serif"/>
          <w:b w:val="false"/>
          <w:color w:val="000000"/>
          <w:sz w:val="24"/>
        </w:rPr>
        <w:t>Any person or entity entitled to indemnification herein shall (i) give prompt written notice to the indemnifying party of any claim with respect to which it seeks indemnification (provided that the failure to give prompt notice shall not impair any person’s or entity’s right to indemnification hereunder to the extent such failure has not materially prejudiced the indemnifying party)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An indemnifying party who is not entitled to, or elects not to, assume the defense of a claim shall not be obligated to pay the fees and expenses of more than one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includes a statement or admission of fault and culpability on the part of such indemnified party or which settlement does not include as an unconditional term thereof the giving by the claimant or plaintiff to such indemnified party of a release from all liability in respect to such claim or litigation.</w:t>
      </w:r>
    </w:p>
    <w:p>
      <w:pPr>
        <w:pStyle w:val="TextBody"/>
        <w:bidi w:val="0"/>
        <w:spacing w:lineRule="auto" w:line="288" w:before="240" w:after="240"/>
        <w:ind w:left="0" w:right="0" w:firstLine="1440"/>
        <w:jc w:val="both"/>
        <w:rPr/>
      </w:pPr>
      <w:r>
        <w:rPr>
          <w:rFonts w:ascii="Times New Roman;serif" w:hAnsi="Times New Roman;serif"/>
          <w:b w:val="false"/>
          <w:color w:val="000000"/>
          <w:sz w:val="24"/>
        </w:rPr>
        <w:t>4.</w:t>
      </w:r>
      <w:r>
        <w:rPr>
          <w:rFonts w:ascii="Times New Roman;serif" w:hAnsi="Times New Roman;serif"/>
          <w:b w:val="false"/>
          <w:color w:val="000000"/>
          <w:sz w:val="24"/>
        </w:rPr>
        <w:t>The indemnification provided for under this Agreement shall remain in full force and effect regardless of any investigation made by or on behalf of the indemnified party or any officer, director or controlling person or entity of such indemnified party and shall survive the transfer of securities. The Company and each Holder of Registrable Securities participating in an offering also agrees to make such provisions as are reasonably requested by any indemnified party for contribution to such party in the event the Company’s or such Holder’s indemnification is unavailable for any reason.</w:t>
      </w:r>
    </w:p>
    <w:p>
      <w:pPr>
        <w:pStyle w:val="TextBody"/>
        <w:bidi w:val="0"/>
        <w:spacing w:lineRule="auto" w:line="288" w:before="240" w:after="240"/>
        <w:ind w:left="0" w:right="0" w:firstLine="1440"/>
        <w:jc w:val="both"/>
        <w:rPr/>
      </w:pPr>
      <w:r>
        <w:rPr>
          <w:rFonts w:ascii="Times New Roman;serif" w:hAnsi="Times New Roman;serif"/>
          <w:b w:val="false"/>
          <w:color w:val="000000"/>
          <w:sz w:val="24"/>
        </w:rPr>
        <w:t>5.</w:t>
      </w:r>
      <w:r>
        <w:rPr>
          <w:rFonts w:ascii="Times New Roman;serif" w:hAnsi="Times New Roman;serif"/>
          <w:b w:val="false"/>
          <w:color w:val="000000"/>
          <w:sz w:val="24"/>
        </w:rPr>
        <w:t xml:space="preserve">If the indemnification provided under </w:t>
      </w:r>
      <w:r>
        <w:rPr>
          <w:rFonts w:ascii="Times New Roman;serif" w:hAnsi="Times New Roman;serif"/>
          <w:b w:val="false"/>
          <w:color w:val="000000"/>
          <w:sz w:val="24"/>
          <w:u w:val="single"/>
        </w:rPr>
        <w:t>Section 4.1</w:t>
      </w:r>
      <w:r>
        <w:rPr>
          <w:color w:val="000000"/>
        </w:rPr>
        <w:t xml:space="preserve"> </w:t>
      </w:r>
      <w:r>
        <w:rPr>
          <w:rFonts w:ascii="Times New Roman;serif" w:hAnsi="Times New Roman;serif"/>
          <w:b w:val="false"/>
          <w:color w:val="000000"/>
          <w:sz w:val="24"/>
        </w:rPr>
        <w:t>from the indemnifying party is unavailable or insufficient to hold harmless an indemnified party in respect of any losses, claims, damages, liabilities and out-of-pocket expenses referred to herein, then the indemnifying party, in lieu of indemnifying the indemnified party, shall contribute to the amount paid or payable by the indemnified party as a result of such losses, claims, damages, liabilities and out-</w:t>
      </w:r>
    </w:p>
    <w:p>
      <w:pPr>
        <w:pStyle w:val="TextBody"/>
        <w:bidi w:val="0"/>
        <w:spacing w:before="0" w:after="0"/>
        <w:jc w:val="righ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75260"/>
                <wp:effectExtent l="0" t="0" r="0" b="0"/>
                <wp:wrapNone/>
                <wp:docPr id="169" name="Frame1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pPr>
      <w:r>
        <w:rPr>
          <w:rFonts w:ascii="Times New Roman;serif" w:hAnsi="Times New Roman;serif"/>
          <w:b w:val="false"/>
          <w:color w:val="000000"/>
          <w:sz w:val="24"/>
        </w:rPr>
        <w:t xml:space="preserve">of-pocket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not made by, in the case of an omission), or relates to information supplied by (or not supplied by in the case of an omission), such indemnifying party or indemnified party, and the indemnifying party’s and indemnified party’s relative intent, knowledge, access to information and opportunity to correct or prevent such action;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the liability of any Holder under this </w:t>
      </w:r>
      <w:r>
        <w:rPr>
          <w:rFonts w:ascii="Times New Roman;serif" w:hAnsi="Times New Roman;serif"/>
          <w:b w:val="false"/>
          <w:color w:val="000000"/>
          <w:sz w:val="24"/>
          <w:u w:val="single"/>
        </w:rPr>
        <w:t>Section 4.1.5</w:t>
      </w:r>
      <w:r>
        <w:rPr>
          <w:color w:val="000000"/>
        </w:rPr>
        <w:t xml:space="preserve"> </w:t>
      </w:r>
      <w:r>
        <w:rPr>
          <w:rFonts w:ascii="Times New Roman;serif" w:hAnsi="Times New Roman;serif"/>
          <w:b w:val="false"/>
          <w:color w:val="000000"/>
          <w:sz w:val="24"/>
        </w:rPr>
        <w:t xml:space="preserve">shall be limited to the amount of the net proceeds received by such Holder in such offering giving rise to such liability. The amount paid or payable by a party as a result of the losses or other liabilities referred to above shall be deemed to include, subject to the limitations set forth in </w:t>
      </w:r>
      <w:r>
        <w:rPr>
          <w:rFonts w:ascii="Times New Roman;serif" w:hAnsi="Times New Roman;serif"/>
          <w:b w:val="false"/>
          <w:color w:val="000000"/>
          <w:sz w:val="24"/>
          <w:u w:val="single"/>
        </w:rPr>
        <w:t>Sections 4.1.1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4.1.2</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4.1.3</w:t>
      </w:r>
      <w:r>
        <w:rPr>
          <w:color w:val="000000"/>
        </w:rPr>
        <w:t xml:space="preserve"> </w:t>
      </w:r>
      <w:r>
        <w:rPr>
          <w:rFonts w:ascii="Times New Roman;serif" w:hAnsi="Times New Roman;serif"/>
          <w:b w:val="false"/>
          <w:color w:val="000000"/>
          <w:sz w:val="24"/>
        </w:rPr>
        <w:t xml:space="preserve">above, any legal or other fees, charges or out-of-pocket expenses reasonably incurred by such party in connection with any investigation or proceeding. The parties hereto agree that it would not be just and equitable if contribution pursuant to this </w:t>
      </w:r>
      <w:r>
        <w:rPr>
          <w:rFonts w:ascii="Times New Roman;serif" w:hAnsi="Times New Roman;serif"/>
          <w:b w:val="false"/>
          <w:color w:val="000000"/>
          <w:sz w:val="24"/>
          <w:u w:val="single"/>
        </w:rPr>
        <w:t>Section 4.1.5</w:t>
      </w:r>
      <w:r>
        <w:rPr>
          <w:color w:val="000000"/>
        </w:rPr>
        <w:t xml:space="preserve"> </w:t>
      </w:r>
      <w:r>
        <w:rPr>
          <w:rFonts w:ascii="Times New Roman;serif" w:hAnsi="Times New Roman;serif"/>
          <w:b w:val="false"/>
          <w:color w:val="000000"/>
          <w:sz w:val="24"/>
        </w:rPr>
        <w:t xml:space="preserve">were determined by pro rata allocation or by any other method of allocation, which does not take account of the equitable considerations referred to in this </w:t>
      </w:r>
      <w:r>
        <w:rPr>
          <w:rFonts w:ascii="Times New Roman;serif" w:hAnsi="Times New Roman;serif"/>
          <w:b w:val="false"/>
          <w:color w:val="000000"/>
          <w:sz w:val="24"/>
          <w:u w:val="single"/>
        </w:rPr>
        <w:t>Section 4.1.5</w:t>
      </w:r>
      <w:r>
        <w:rPr>
          <w:rFonts w:ascii="Times New Roman;serif" w:hAnsi="Times New Roman;serif"/>
          <w:b w:val="false"/>
          <w:color w:val="000000"/>
          <w:sz w:val="24"/>
        </w:rPr>
        <w:t xml:space="preserve">. No person or entity guilty of fraudulent misrepresentation (within the meaning of Section 11(f) of the Securities Act) shall be entitled to contribution pursuant to this </w:t>
      </w:r>
      <w:r>
        <w:rPr>
          <w:rFonts w:ascii="Times New Roman;serif" w:hAnsi="Times New Roman;serif"/>
          <w:b w:val="false"/>
          <w:color w:val="000000"/>
          <w:sz w:val="24"/>
          <w:u w:val="single"/>
        </w:rPr>
        <w:t>Section 4.1.5</w:t>
      </w:r>
      <w:r>
        <w:rPr>
          <w:color w:val="000000"/>
        </w:rPr>
        <w:t xml:space="preserve"> </w:t>
      </w:r>
      <w:r>
        <w:rPr>
          <w:rFonts w:ascii="Times New Roman;serif" w:hAnsi="Times New Roman;serif"/>
          <w:b w:val="false"/>
          <w:color w:val="000000"/>
          <w:sz w:val="24"/>
        </w:rPr>
        <w:t>from any person or entity who was not guilty of such fraudulent misrepresentation.</w:t>
      </w:r>
    </w:p>
    <w:p>
      <w:pPr>
        <w:pStyle w:val="TextBody"/>
        <w:bidi w:val="0"/>
        <w:spacing w:before="0" w:after="0"/>
        <w:jc w:val="righ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75260"/>
                <wp:effectExtent l="0" t="0" r="0" b="0"/>
                <wp:wrapNone/>
                <wp:docPr id="170" name="Frame1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center"/>
        <w:rPr/>
      </w:pPr>
      <w:r>
        <w:rPr>
          <w:rFonts w:ascii="Times New Roman;serif" w:hAnsi="Times New Roman;serif"/>
          <w:b/>
          <w:color w:val="000000"/>
          <w:sz w:val="24"/>
        </w:rPr>
        <w:t>ARTICLE V</w:t>
      </w:r>
      <w:r>
        <w:rPr>
          <w:rFonts w:ascii="Times New Roman;serif" w:hAnsi="Times New Roman;serif"/>
          <w:b w:val="false"/>
          <w:color w:val="000000"/>
          <w:sz w:val="24"/>
        </w:rPr>
        <w:br/>
        <w:br/>
      </w:r>
      <w:r>
        <w:rPr>
          <w:rFonts w:ascii="Times New Roman;serif" w:hAnsi="Times New Roman;serif"/>
          <w:b/>
          <w:color w:val="000000"/>
          <w:sz w:val="24"/>
          <w:u w:val="single"/>
        </w:rPr>
        <w:t>MISCELLANEOUS</w:t>
      </w:r>
    </w:p>
    <w:p>
      <w:pPr>
        <w:pStyle w:val="TextBody"/>
        <w:bidi w:val="0"/>
        <w:spacing w:lineRule="auto" w:line="288" w:before="0" w:after="24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Notices</w:t>
      </w:r>
      <w:r>
        <w:rPr>
          <w:rFonts w:ascii="Times New Roman;serif" w:hAnsi="Times New Roman;serif"/>
          <w:b w:val="false"/>
          <w:color w:val="000000"/>
          <w:sz w:val="24"/>
        </w:rPr>
        <w:t>.</w:t>
      </w:r>
    </w:p>
    <w:p>
      <w:pPr>
        <w:pStyle w:val="TextBody"/>
        <w:bidi w:val="0"/>
        <w:spacing w:lineRule="auto" w:line="288" w:before="0" w:after="240"/>
        <w:jc w:val="both"/>
        <w:rPr/>
      </w:pPr>
      <w:r>
        <w:rPr>
          <w:rFonts w:ascii="Times New Roman;serif" w:hAnsi="Times New Roman;serif"/>
          <w:b w:val="false"/>
          <w:color w:val="000000"/>
          <w:sz w:val="24"/>
        </w:rPr>
        <w:t xml:space="preserve">Any notice, request or other document required or permitted to be given or delivered under this Agreement shall be deemed to have been given (i) upon receipt if delivered personally or by courier, (ii) upon confirmation of receipt if by telecopy, (iii) upon receipt if delivered by electronic mail to the email listed below such parties signature on the signature page to this Warrant at or before 5:00 p.m. Eastern Time on a Business Day, (iv) at 9:00 a.m. Eastern Time on the immediately succeeding Business Day if received by electronic mail at the email listed below such parties signature on the signature page to this Warrant after 5:00 p.m. Eastern Time or on a day that is not a Business Day or (iv) three Business Days after deposit in the US mail, with postage prepaid and certified or registered, to each such Holder at its address as shown on the books of Company or to Company at the address indicated therefor in the opening paragraphs of this Warrant. Any notice or communication under this Agreement must be addressed, if to the Company, to: 6900 Tavistock Lakes Blvd, Suite 400, Orlando, FL 32827, Attn: Bill Haskell; Ronald Austrup, and, if to any Holder, at such Holder’s address, electronic mail address or facsimile number as set forth in the Company’s books and records. Any party may change its address for notice at any time and from time to time by written notice to the other parties hereto, and such change of address shall become effective five (5) business days after delivery of such notice as provided in this </w:t>
      </w:r>
      <w:r>
        <w:rPr>
          <w:rFonts w:ascii="Times New Roman;serif" w:hAnsi="Times New Roman;serif"/>
          <w:b w:val="false"/>
          <w:color w:val="000000"/>
          <w:sz w:val="24"/>
          <w:u w:val="single"/>
        </w:rPr>
        <w:t>Section 5.1</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Assignment; No Third Party Beneficiaries.</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1.</w:t>
      </w:r>
      <w:r>
        <w:rPr>
          <w:color w:val="000000"/>
        </w:rPr>
        <w:t xml:space="preserve"> </w:t>
      </w:r>
      <w:r>
        <w:rPr>
          <w:rFonts w:ascii="Times New Roman;serif" w:hAnsi="Times New Roman;serif"/>
          <w:b w:val="false"/>
          <w:color w:val="000000"/>
          <w:sz w:val="24"/>
        </w:rPr>
        <w:t>This Agreement and the rights, duties and obligations of the Company hereunder may not be assigned or delegated by the Company in whole or in part.</w:t>
      </w:r>
    </w:p>
    <w:p>
      <w:pPr>
        <w:pStyle w:val="TextBody"/>
        <w:bidi w:val="0"/>
        <w:spacing w:lineRule="auto" w:line="288" w:before="240" w:after="240"/>
        <w:ind w:left="0" w:right="0" w:firstLine="1440"/>
        <w:jc w:val="both"/>
        <w:rPr/>
      </w:pPr>
      <w:r>
        <w:rPr>
          <w:rFonts w:ascii="Times New Roman;serif" w:hAnsi="Times New Roman;serif"/>
          <w:b w:val="false"/>
          <w:color w:val="000000"/>
          <w:sz w:val="24"/>
        </w:rPr>
        <w:t>2.</w:t>
      </w:r>
      <w:r>
        <w:rPr>
          <w:rFonts w:ascii="Times New Roman;serif" w:hAnsi="Times New Roman;serif"/>
          <w:b w:val="false"/>
          <w:color w:val="000000"/>
          <w:sz w:val="24"/>
        </w:rPr>
        <w:t xml:space="preserve">Subject to </w:t>
      </w:r>
      <w:r>
        <w:rPr>
          <w:rFonts w:ascii="Times New Roman;serif" w:hAnsi="Times New Roman;serif"/>
          <w:b w:val="false"/>
          <w:color w:val="000000"/>
          <w:sz w:val="24"/>
          <w:u w:val="single"/>
        </w:rPr>
        <w:t>Section 5.2.4</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5.2.5</w:t>
      </w:r>
      <w:r>
        <w:rPr>
          <w:rFonts w:ascii="Times New Roman;serif" w:hAnsi="Times New Roman;serif"/>
          <w:b w:val="false"/>
          <w:color w:val="000000"/>
          <w:sz w:val="24"/>
        </w:rPr>
        <w:t xml:space="preserve">, this Agreement and the rights, duties and obligations of a Holder hereunder may be assigned in whole or in part to such Holder’s Permitted Transferees to which it transfers Registrable Securities;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with respect to the Holders, the rights hereunder that are personal to such Holders may not be assigned or delegated in whole or in part, except that each of the Holders shall be permitted to transfer its rights hereunder as the Holders to one or more affiliates or any direct or indirect partners, members or equity holders of such Holder (it being understood that no such transfer shall reduce or multiply any rights of such Holder or such transferees).</w:t>
      </w:r>
    </w:p>
    <w:p>
      <w:pPr>
        <w:pStyle w:val="TextBody"/>
        <w:bidi w:val="0"/>
        <w:spacing w:lineRule="auto" w:line="288" w:before="240" w:after="240"/>
        <w:ind w:left="0" w:right="0" w:firstLine="1440"/>
        <w:jc w:val="both"/>
        <w:rPr/>
      </w:pPr>
      <w:r>
        <w:rPr>
          <w:rFonts w:ascii="Times New Roman;serif" w:hAnsi="Times New Roman;serif"/>
          <w:b w:val="false"/>
          <w:color w:val="000000"/>
          <w:sz w:val="24"/>
        </w:rPr>
        <w:t>3.</w:t>
      </w:r>
      <w:r>
        <w:rPr>
          <w:rFonts w:ascii="Times New Roman;serif" w:hAnsi="Times New Roman;serif"/>
          <w:b w:val="false"/>
          <w:color w:val="000000"/>
          <w:sz w:val="24"/>
        </w:rPr>
        <w:t>This Agreement and the provisions hereof shall be binding upon and shall inure to the benefit of each of the parties and its successors and the permitted assigns of the Holders, which shall include Permitted Transferees.</w:t>
      </w:r>
    </w:p>
    <w:p>
      <w:pPr>
        <w:pStyle w:val="TextBody"/>
        <w:bidi w:val="0"/>
        <w:spacing w:lineRule="auto" w:line="288" w:before="240" w:after="240"/>
        <w:ind w:left="0" w:right="0" w:firstLine="1440"/>
        <w:jc w:val="both"/>
        <w:rPr/>
      </w:pPr>
      <w:r>
        <w:rPr>
          <w:rFonts w:ascii="Times New Roman;serif" w:hAnsi="Times New Roman;serif"/>
          <w:b w:val="false"/>
          <w:color w:val="000000"/>
          <w:sz w:val="24"/>
        </w:rPr>
        <w:t>4.</w:t>
      </w:r>
      <w:r>
        <w:rPr>
          <w:rFonts w:ascii="Times New Roman;serif" w:hAnsi="Times New Roman;serif"/>
          <w:b w:val="false"/>
          <w:color w:val="000000"/>
          <w:sz w:val="24"/>
        </w:rPr>
        <w:t>This Agreement shall not confer any rights or benefits on any persons or entities that are not parties hereto, other than as expressly set forth in this Agreement.</w:t>
      </w:r>
    </w:p>
    <w:p>
      <w:pPr>
        <w:pStyle w:val="TextBody"/>
        <w:bidi w:val="0"/>
        <w:spacing w:before="0" w:after="0"/>
        <w:jc w:val="righ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75260"/>
                <wp:effectExtent l="0" t="0" r="0" b="0"/>
                <wp:wrapNone/>
                <wp:docPr id="171" name="Frame1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firstLine="1440"/>
        <w:jc w:val="both"/>
        <w:rPr/>
      </w:pPr>
      <w:r>
        <w:rPr>
          <w:rFonts w:ascii="Times New Roman;serif" w:hAnsi="Times New Roman;serif"/>
          <w:b w:val="false"/>
          <w:color w:val="000000"/>
          <w:sz w:val="24"/>
        </w:rPr>
        <w:t>5.</w:t>
      </w:r>
      <w:r>
        <w:rPr>
          <w:rFonts w:ascii="Times New Roman;serif" w:hAnsi="Times New Roman;serif"/>
          <w:b w:val="false"/>
          <w:color w:val="000000"/>
          <w:sz w:val="24"/>
        </w:rPr>
        <w:t xml:space="preserve">No assignment by any party hereto of such party’s rights, duties and obligations hereunder shall be binding upon or obligate the Company unless and until the Company shall have received (i) written notice of such assignment as provided in </w:t>
      </w:r>
      <w:r>
        <w:rPr>
          <w:rFonts w:ascii="Times New Roman;serif" w:hAnsi="Times New Roman;serif"/>
          <w:b w:val="false"/>
          <w:color w:val="000000"/>
          <w:sz w:val="24"/>
          <w:u w:val="single"/>
        </w:rPr>
        <w:t>Section 5.1</w:t>
      </w:r>
      <w:r>
        <w:rPr>
          <w:color w:val="000000"/>
        </w:rPr>
        <w:t xml:space="preserve"> </w:t>
      </w:r>
      <w:r>
        <w:rPr>
          <w:rFonts w:ascii="Times New Roman;serif" w:hAnsi="Times New Roman;serif"/>
          <w:b w:val="false"/>
          <w:color w:val="000000"/>
          <w:sz w:val="24"/>
        </w:rPr>
        <w:t xml:space="preserve">hereof and (ii) the written agreement of the assignee, in a form reasonably satisfactory to the Company, to be bound by the terms and provisions of this Agreement (which may be accomplished by an addendum or certificate of joinder to this Agreement, including the joinder in the form of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 xml:space="preserve">attached hereto). Any transfer or assignment made other than as provided in this </w:t>
      </w:r>
      <w:r>
        <w:rPr>
          <w:rFonts w:ascii="Times New Roman;serif" w:hAnsi="Times New Roman;serif"/>
          <w:b w:val="false"/>
          <w:color w:val="000000"/>
          <w:sz w:val="24"/>
          <w:u w:val="single"/>
        </w:rPr>
        <w:t>Section 5.2</w:t>
      </w:r>
      <w:r>
        <w:rPr>
          <w:color w:val="000000"/>
        </w:rPr>
        <w:t xml:space="preserve"> </w:t>
      </w:r>
      <w:r>
        <w:rPr>
          <w:rFonts w:ascii="Times New Roman;serif" w:hAnsi="Times New Roman;serif"/>
          <w:b w:val="false"/>
          <w:color w:val="000000"/>
          <w:sz w:val="24"/>
        </w:rPr>
        <w:t>shall be null and void.</w:t>
      </w:r>
    </w:p>
    <w:p>
      <w:pPr>
        <w:pStyle w:val="TextBody"/>
        <w:bidi w:val="0"/>
        <w:spacing w:lineRule="auto" w:line="288" w:before="0" w:after="240"/>
        <w:ind w:left="0" w:right="0" w:firstLine="72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Counterparts.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This Agreement may be executed in multiple counterparts (including facsimile or PDF counterparts), each of which shall be deemed an original, and all of which together shall constitute the same instrument, but only one of which need be produced.</w:t>
      </w:r>
    </w:p>
    <w:p>
      <w:pPr>
        <w:pStyle w:val="TextBody"/>
        <w:bidi w:val="0"/>
        <w:spacing w:lineRule="auto" w:line="288" w:before="0" w:after="240"/>
        <w:ind w:left="0" w:right="0" w:firstLine="72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Governing Law; Venue.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NOTWITHSTANDING THE PLACE WHERE THIS AGREEMENT MAY BE EXECUTED BY ANY OF THE PARTIES HERETO, THE PARTIES EXPRESSLY AGREE THAT (1) THIS AGREEMENT SHALL BE GOVERNED BY AND CONSTRUED UNDER THE LAWS OF THE STATE OF NEW YORK AND (2) THE VENUE FOR ANY ACTION TAKEN WITH RESPECT TO THIS AGREEMENT SHALL BE ANY STATE OR FEDERAL COURT IN NEW YORK COUNTY IN THE STATE OF NEW YORK</w:t>
      </w:r>
    </w:p>
    <w:p>
      <w:pPr>
        <w:pStyle w:val="TextBody"/>
        <w:bidi w:val="0"/>
        <w:spacing w:lineRule="auto" w:line="288" w:before="0" w:after="240"/>
        <w:ind w:left="0" w:right="0" w:firstLine="720"/>
        <w:jc w:val="both"/>
        <w:rPr/>
      </w:pPr>
      <w:r>
        <w:rPr>
          <w:rFonts w:ascii="Times New Roman;serif" w:hAnsi="Times New Roman;serif"/>
          <w:b/>
          <w:color w:val="000000"/>
          <w:sz w:val="24"/>
        </w:rPr>
        <w:t>5.</w:t>
      </w:r>
      <w:r>
        <w:rPr>
          <w:rFonts w:ascii="Times New Roman;serif" w:hAnsi="Times New Roman;serif"/>
          <w:b/>
          <w:color w:val="000000"/>
          <w:sz w:val="24"/>
          <w:u w:val="single"/>
        </w:rPr>
        <w:t>TRIAL BY JURY.</w:t>
      </w:r>
    </w:p>
    <w:p>
      <w:pPr>
        <w:pStyle w:val="TextBody"/>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EACH PARTY HERETO ACKNOWLEDGES AND AGREES THAT ANY CONTROVERSY WHICH MAY ARISE UNDER THIS AGREEMENT IS LIKELY TO INVOLVE COMPLICATED AND DIFFICULT ISSUES, AND, THEREFORE, EACH SUCH PARTY HEREBY IRREVOCABLY AND UNCONDITIONALLY WAIVES TO THE FULLEST EXTENT PERMITTED BY APPLICABLE LAW, ANY RIGHT SUCH PARTY MAY HAVE TO A TRIAL BY JURY IN RESPECT TO ANY ACTION DIRECTLY OR INDIRECTLY ARISING OUT OF, UNDER OR IN CONNECTION WITH OR RELATING TO THIS AGREEMENT OR THE TRANSACTIONS CONTEMPLATED BY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6.</w:t>
      </w:r>
      <w:r>
        <w:rPr>
          <w:rFonts w:ascii="Times New Roman;serif" w:hAnsi="Times New Roman;serif"/>
          <w:b w:val="false"/>
          <w:color w:val="000000"/>
          <w:sz w:val="24"/>
          <w:u w:val="single"/>
        </w:rPr>
        <w:t>Amendments and Modifications.</w:t>
      </w:r>
    </w:p>
    <w:p>
      <w:pPr>
        <w:pStyle w:val="TextBody"/>
        <w:bidi w:val="0"/>
        <w:spacing w:lineRule="auto" w:line="288" w:before="0" w:after="240"/>
        <w:jc w:val="both"/>
        <w:rPr/>
      </w:pPr>
      <w:r>
        <w:rPr>
          <w:rFonts w:ascii="Times New Roman;serif" w:hAnsi="Times New Roman;serif"/>
          <w:b w:val="false"/>
          <w:color w:val="000000"/>
          <w:sz w:val="24"/>
        </w:rPr>
        <w:t xml:space="preserve">This Agreement may be amended or modified, and compliance with any of the provisions, covenants and conditions set forth herein may be waived, upon the written consent of (a) the Company and (b) the Holders of a majority of the total Registrable Securities then outstanding;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any amendment hereto or waiver hereof that adversely affects any Holder, solely in its capacity as a holder of shares in the capital of the Company, in a manner that is materially different from the other Holders (in such capacity) shall require the consent of the Holder so affected. No course of dealing between any Holder or the Company and any other party hereto or any failure or delay on the part of a Holder or the Company in exercising any </w:t>
      </w:r>
    </w:p>
    <w:p>
      <w:pPr>
        <w:pStyle w:val="TextBody"/>
        <w:bidi w:val="0"/>
        <w:spacing w:before="0" w:after="0"/>
        <w:jc w:val="righ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75260"/>
                <wp:effectExtent l="0" t="0" r="0" b="0"/>
                <wp:wrapNone/>
                <wp:docPr id="172" name="Frame1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rights or remedies under this Agreement shall operate as a waiver of any rights or remedies of any Holder or the Company. No single or partial exercise of any rights or remedies under this Agreement by a party shall operate as a waiver or preclude the exercise of any other rights or remedies hereunder or thereunder by such party. </w:t>
      </w:r>
    </w:p>
    <w:p>
      <w:pPr>
        <w:pStyle w:val="TextBody"/>
        <w:bidi w:val="0"/>
        <w:spacing w:lineRule="auto" w:line="288" w:before="0" w:after="240"/>
        <w:ind w:left="0" w:right="0" w:firstLine="720"/>
        <w:jc w:val="both"/>
        <w:rPr/>
      </w:pPr>
      <w:r>
        <w:rPr>
          <w:rFonts w:ascii="Times New Roman;serif" w:hAnsi="Times New Roman;serif"/>
          <w:b w:val="false"/>
          <w:color w:val="000000"/>
          <w:sz w:val="24"/>
        </w:rPr>
        <w:t>7.</w:t>
      </w:r>
      <w:r>
        <w:rPr>
          <w:rFonts w:ascii="Times New Roman;serif" w:hAnsi="Times New Roman;serif"/>
          <w:b w:val="false"/>
          <w:color w:val="000000"/>
          <w:sz w:val="24"/>
          <w:u w:val="single"/>
        </w:rPr>
        <w:t>Term.</w:t>
      </w:r>
    </w:p>
    <w:p>
      <w:pPr>
        <w:pStyle w:val="TextBody"/>
        <w:bidi w:val="0"/>
        <w:spacing w:lineRule="auto" w:line="288" w:before="0" w:after="240"/>
        <w:jc w:val="both"/>
        <w:rPr/>
      </w:pPr>
      <w:r>
        <w:rPr>
          <w:rFonts w:ascii="Times New Roman;serif" w:hAnsi="Times New Roman;serif"/>
          <w:b w:val="false"/>
          <w:color w:val="000000"/>
          <w:sz w:val="24"/>
        </w:rPr>
        <w:t>This Agreement shall terminate on the earlier of (a) the tenth (10</w:t>
      </w:r>
      <w:r>
        <w:rPr>
          <w:rFonts w:ascii="Times New Roman;serif" w:hAnsi="Times New Roman;serif"/>
          <w:b w:val="false"/>
          <w:color w:val="000000"/>
          <w:sz w:val="16"/>
        </w:rPr>
        <w:t>th</w:t>
      </w:r>
      <w:r>
        <w:rPr>
          <w:rFonts w:ascii="Times New Roman;serif" w:hAnsi="Times New Roman;serif"/>
          <w:b w:val="false"/>
          <w:color w:val="000000"/>
          <w:sz w:val="24"/>
        </w:rPr>
        <w:t xml:space="preserve">) anniversary of the date of this Agreement and (b) with respect to any Holder, on the date that such Holder no longer holds any Registrable Securities. The provisions of </w:t>
      </w:r>
      <w:r>
        <w:rPr>
          <w:rFonts w:ascii="Times New Roman;serif" w:hAnsi="Times New Roman;serif"/>
          <w:b w:val="false"/>
          <w:color w:val="000000"/>
          <w:sz w:val="24"/>
          <w:u w:val="single"/>
        </w:rPr>
        <w:t>Section 3.5</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Article IV</w:t>
      </w:r>
      <w:r>
        <w:rPr>
          <w:color w:val="000000"/>
        </w:rPr>
        <w:t xml:space="preserve"> </w:t>
      </w:r>
      <w:r>
        <w:rPr>
          <w:rFonts w:ascii="Times New Roman;serif" w:hAnsi="Times New Roman;serif"/>
          <w:b w:val="false"/>
          <w:color w:val="000000"/>
          <w:sz w:val="24"/>
        </w:rPr>
        <w:t>shall survive any termination.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8.</w:t>
      </w:r>
      <w:r>
        <w:rPr>
          <w:rFonts w:ascii="Times New Roman;serif" w:hAnsi="Times New Roman;serif"/>
          <w:b w:val="false"/>
          <w:color w:val="000000"/>
          <w:sz w:val="24"/>
          <w:u w:val="single"/>
        </w:rPr>
        <w:t>Holder Information.</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Each Holder agrees, if requested in writing, to represent to the Company the total number of Registrable Securities held by such Holder in order for the Company to make determinations hereunder.</w:t>
      </w:r>
    </w:p>
    <w:p>
      <w:pPr>
        <w:pStyle w:val="TextBody"/>
        <w:bidi w:val="0"/>
        <w:spacing w:lineRule="auto" w:line="288" w:before="240" w:after="240"/>
        <w:ind w:left="0" w:right="0" w:firstLine="720"/>
        <w:jc w:val="both"/>
        <w:rPr/>
      </w:pPr>
      <w:r>
        <w:rPr>
          <w:rFonts w:ascii="Times New Roman;serif" w:hAnsi="Times New Roman;serif"/>
          <w:b w:val="false"/>
          <w:color w:val="000000"/>
          <w:sz w:val="24"/>
        </w:rPr>
        <w:t>9.</w:t>
      </w:r>
      <w:r>
        <w:rPr>
          <w:rFonts w:ascii="Times New Roman;serif" w:hAnsi="Times New Roman;serif"/>
          <w:b w:val="false"/>
          <w:color w:val="000000"/>
          <w:sz w:val="24"/>
          <w:u w:val="single"/>
        </w:rPr>
        <w:t>Severability.</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It is the desire and intent of the parties that the provisions of this Agreement be enforced to the fullest extent permissible under the laws and public policies applied in each jurisdiction in which enforcement is sought. Accordingly, if any particular provision of this Agreement shall be adjudicated by a court of competent jurisdiction to be invalid, prohibited or unenforceable for any reason, such provision, as to such jurisdiction, shall be ineffective, without invalidating the remaining provisions of this Agreement or affecting the validity or enforceability of this Agreement or affecting the validity or enforceability of such provision in any other jurisdiction. Notwithstanding the foregoing, if such provision could be more narrowly drawn so as not to be invalid, prohibited or unenforceable in such jurisdiction, it shall, as to such jurisdiction, be so narrowly drawn, without invalidating the remaining provisions of this Agreement or affecting the validity or enforceability of such provision in any other jurisdiction.</w:t>
      </w:r>
    </w:p>
    <w:p>
      <w:pPr>
        <w:pStyle w:val="TextBody"/>
        <w:bidi w:val="0"/>
        <w:spacing w:lineRule="auto" w:line="288" w:before="240" w:after="240"/>
        <w:ind w:left="0" w:right="0" w:firstLine="720"/>
        <w:jc w:val="both"/>
        <w:rPr/>
      </w:pPr>
      <w:r>
        <w:rPr>
          <w:rFonts w:ascii="Times New Roman;serif" w:hAnsi="Times New Roman;serif"/>
          <w:b w:val="false"/>
          <w:color w:val="000000"/>
          <w:sz w:val="24"/>
        </w:rPr>
        <w:t>10.</w:t>
      </w:r>
      <w:r>
        <w:rPr>
          <w:rFonts w:ascii="Times New Roman;serif" w:hAnsi="Times New Roman;serif"/>
          <w:b w:val="false"/>
          <w:color w:val="000000"/>
          <w:sz w:val="24"/>
          <w:u w:val="single"/>
        </w:rPr>
        <w:t>Entire Agreement; Restatement.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This Agreement constitutes the full and entire agreement and understanding between the parties with respect to the subject matter hereof and supersedes all prior agreements and understandings relating to such subject matter.</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[SIGNATURE PAGES FOLLOW]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75260"/>
                <wp:effectExtent l="0" t="0" r="0" b="0"/>
                <wp:wrapNone/>
                <wp:docPr id="173" name="Frame1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undersigned have caused this Agreement to be executed as of the date first written above.</w:t>
      </w:r>
    </w:p>
    <w:p>
      <w:pPr>
        <w:pStyle w:val="TextBody"/>
        <w:bidi w:val="0"/>
        <w:spacing w:lineRule="auto" w:line="288" w:before="480" w:after="283"/>
        <w:jc w:val="left"/>
        <w:rPr/>
      </w:pPr>
      <w:r>
        <w:rPr>
          <w:rFonts w:ascii="Times New Roman;serif" w:hAnsi="Times New Roman;serif"/>
          <w:b/>
          <w:color w:val="000000"/>
          <w:sz w:val="24"/>
        </w:rPr>
        <w:t>COMPANY:</w:t>
        <w:br/>
        <w:br/>
        <w:t xml:space="preserve">INNVENTURE, INC. </w:t>
      </w:r>
      <w:r>
        <w:rPr>
          <w:rFonts w:ascii="Times New Roman;serif" w:hAnsi="Times New Roman;serif"/>
          <w:b w:val="false"/>
          <w:color w:val="000000"/>
          <w:sz w:val="24"/>
        </w:rPr>
        <w:br/>
        <w:t>a Delaware corporation</w:t>
      </w:r>
    </w:p>
    <w:p>
      <w:pPr>
        <w:pStyle w:val="TextBody"/>
        <w:bidi w:val="0"/>
        <w:spacing w:lineRule="auto" w:line="288" w:before="480" w:after="283"/>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Michael Otworth    </w:t>
      </w:r>
      <w:r>
        <w:rPr>
          <w:rFonts w:ascii="Times New Roman;serif" w:hAnsi="Times New Roman;serif"/>
          <w:b w:val="false"/>
          <w:color w:val="000000"/>
          <w:sz w:val="24"/>
        </w:rPr>
        <w:br/>
        <w:t>    Name:    Michael Otworth</w:t>
        <w:br/>
        <w:t>    Title:    Executive Chairman</w:t>
      </w:r>
    </w:p>
    <w:p>
      <w:pPr>
        <w:pStyle w:val="TextBody"/>
        <w:bidi w:val="0"/>
        <w:spacing w:before="0" w:after="0"/>
        <w:jc w:val="righ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75260"/>
                <wp:effectExtent l="0" t="0" r="0" b="0"/>
                <wp:wrapNone/>
                <wp:docPr id="174" name="Frame1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to the WTI Registration Rights Agreement</w:t>
                            </w:r>
                            <w:r>
                              <w:rPr>
                                <w:rFonts w:ascii="Times New Roman;serif" w:hAnsi="Times New Roman;serif"/>
                                <w:b w:val="false"/>
                                <w:color w:val="000000"/>
                                <w:sz w:val="24"/>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to the WTI Registration Rights Agreement</w:t>
                      </w:r>
                      <w:r>
                        <w:rPr>
                          <w:rFonts w:ascii="Times New Roman;serif" w:hAnsi="Times New Roman;serif"/>
                          <w:b w:val="false"/>
                          <w:color w:val="000000"/>
                          <w:sz w:val="24"/>
                        </w:rPr>
                        <w:t>]</w:t>
                      </w:r>
                    </w:p>
                  </w:txbxContent>
                </v:textbox>
                <w10:wrap type="none"/>
              </v:rect>
            </w:pict>
          </mc:Fallback>
        </mc:AlternateContent>
      </w:r>
    </w:p>
    <w:p>
      <w:pPr>
        <w:pStyle w:val="TextBody"/>
        <w:bidi w:val="0"/>
        <w:spacing w:lineRule="auto" w:line="288" w:before="480" w:after="283"/>
        <w:jc w:val="left"/>
        <w:rPr/>
      </w:pPr>
      <w:r>
        <w:rPr>
          <w:rFonts w:ascii="Times New Roman;serif" w:hAnsi="Times New Roman;serif"/>
          <w:b/>
          <w:color w:val="000000"/>
          <w:sz w:val="24"/>
        </w:rPr>
        <w:t>HOLDERS:</w:t>
        <w:br/>
        <w:br/>
        <w:t>WTI FUND X, LLC</w:t>
      </w:r>
      <w:r>
        <w:rPr>
          <w:rFonts w:ascii="Times New Roman;serif" w:hAnsi="Times New Roman;serif"/>
          <w:b w:val="false"/>
          <w:color w:val="000000"/>
          <w:sz w:val="24"/>
        </w:rPr>
        <w:br/>
        <w:t>a Delaware limited liability company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WTI Fund X GP, LLC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Its: Managing Member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Westech Investment Advisors LLC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Its: Managing Member</w:t>
      </w:r>
    </w:p>
    <w:p>
      <w:pPr>
        <w:pStyle w:val="TextBody"/>
        <w:bidi w:val="0"/>
        <w:spacing w:lineRule="auto" w:line="288" w:before="480" w:after="283"/>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David Wanek</w:t>
      </w:r>
      <w:r>
        <w:rPr>
          <w:rFonts w:ascii="Times New Roman;serif" w:hAnsi="Times New Roman;serif"/>
          <w:b w:val="false"/>
          <w:color w:val="000000"/>
          <w:sz w:val="24"/>
        </w:rPr>
        <w:t>______________________</w:t>
        <w:br/>
        <w:t>    Name:    David Wanek</w:t>
        <w:br/>
        <w:t>    Title:    President and CEO</w:t>
      </w:r>
    </w:p>
    <w:p>
      <w:pPr>
        <w:pStyle w:val="TextBody"/>
        <w:bidi w:val="0"/>
        <w:spacing w:lineRule="auto" w:line="288" w:before="480" w:after="283"/>
        <w:jc w:val="left"/>
        <w:rPr/>
      </w:pPr>
      <w:r>
        <w:rPr>
          <w:rFonts w:ascii="Times New Roman;serif" w:hAnsi="Times New Roman;serif"/>
          <w:b/>
          <w:color w:val="000000"/>
          <w:sz w:val="24"/>
        </w:rPr>
        <w:t>WTI FUND XI, LLC</w:t>
      </w:r>
      <w:r>
        <w:rPr>
          <w:rFonts w:ascii="Times New Roman;serif" w:hAnsi="Times New Roman;serif"/>
          <w:b w:val="false"/>
          <w:color w:val="000000"/>
          <w:sz w:val="24"/>
        </w:rPr>
        <w:br/>
        <w:t>a Delaware limited liability company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WTI Fund XI GP, LLC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Its: Managing Member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Westech Investment Advisors LLC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Its: Managing Member</w:t>
      </w:r>
    </w:p>
    <w:p>
      <w:pPr>
        <w:pStyle w:val="TextBody"/>
        <w:bidi w:val="0"/>
        <w:spacing w:lineRule="auto" w:line="288" w:before="480" w:after="283"/>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David Wanek</w:t>
      </w:r>
      <w:r>
        <w:rPr>
          <w:rFonts w:ascii="Times New Roman;serif" w:hAnsi="Times New Roman;serif"/>
          <w:b w:val="false"/>
          <w:color w:val="000000"/>
          <w:sz w:val="24"/>
        </w:rPr>
        <w:t>______________________</w:t>
        <w:br/>
        <w:t>    Name:    David Wanek</w:t>
        <w:br/>
        <w:t>    Title:    President and CEO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75260"/>
                <wp:effectExtent l="0" t="0" r="0" b="0"/>
                <wp:wrapNone/>
                <wp:docPr id="175" name="Frame1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to the WTI Registration Rights Agreement</w:t>
                            </w:r>
                            <w:r>
                              <w:rPr>
                                <w:rFonts w:ascii="Times New Roman;serif" w:hAnsi="Times New Roman;serif"/>
                                <w:b w:val="false"/>
                                <w:color w:val="000000"/>
                                <w:sz w:val="24"/>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to the WTI Registration Rights Agreement</w:t>
                      </w:r>
                      <w:r>
                        <w:rPr>
                          <w:rFonts w:ascii="Times New Roman;serif" w:hAnsi="Times New Roman;serif"/>
                          <w:b w:val="false"/>
                          <w:color w:val="000000"/>
                          <w:sz w:val="24"/>
                        </w:rPr>
                        <w:t>]</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Exhibit A</w:t>
      </w:r>
    </w:p>
    <w:p>
      <w:pPr>
        <w:pStyle w:val="TextBody"/>
        <w:bidi w:val="0"/>
        <w:spacing w:lineRule="auto" w:line="288" w:before="240" w:after="240"/>
        <w:jc w:val="center"/>
        <w:rPr>
          <w:rFonts w:ascii="Times New Roman;serif" w:hAnsi="Times New Roman;serif"/>
          <w:b/>
          <w:color w:val="000000"/>
          <w:sz w:val="24"/>
        </w:rPr>
      </w:pPr>
      <w:r>
        <w:rPr>
          <w:rFonts w:ascii="Times New Roman;serif" w:hAnsi="Times New Roman;serif"/>
          <w:b/>
          <w:color w:val="000000"/>
          <w:sz w:val="24"/>
        </w:rPr>
        <w:t>REGISTRATION RIGHTS AGREEMENT JOINDER</w:t>
      </w:r>
    </w:p>
    <w:p>
      <w:pPr>
        <w:pStyle w:val="TextBody"/>
        <w:bidi w:val="0"/>
        <w:spacing w:lineRule="auto" w:line="288" w:before="240" w:after="240"/>
        <w:ind w:left="0" w:right="0" w:firstLine="720"/>
        <w:jc w:val="both"/>
        <w:rPr/>
      </w:pPr>
      <w:r>
        <w:rPr>
          <w:rFonts w:ascii="Times New Roman;serif" w:hAnsi="Times New Roman;serif"/>
          <w:b w:val="false"/>
          <w:color w:val="000000"/>
          <w:sz w:val="24"/>
        </w:rPr>
        <w:t>The undersigned is executing and delivering this joinder (this “</w:t>
      </w:r>
      <w:r>
        <w:rPr>
          <w:rFonts w:ascii="Times New Roman;serif" w:hAnsi="Times New Roman;serif"/>
          <w:b/>
          <w:i/>
          <w:color w:val="000000"/>
          <w:sz w:val="24"/>
        </w:rPr>
        <w:t>Joinder</w:t>
      </w:r>
      <w:r>
        <w:rPr>
          <w:color w:val="000000"/>
        </w:rPr>
        <w:t>”</w:t>
      </w:r>
      <w:r>
        <w:rPr>
          <w:rFonts w:ascii="Times New Roman;serif" w:hAnsi="Times New Roman;serif"/>
          <w:b w:val="false"/>
          <w:color w:val="000000"/>
          <w:sz w:val="24"/>
        </w:rPr>
        <w:t>) pursuant to the Registration Rights Agreement, dated as of October 22, 2024 (as the same may hereafter be amended, the “</w:t>
      </w:r>
      <w:r>
        <w:rPr>
          <w:rFonts w:ascii="Times New Roman;serif" w:hAnsi="Times New Roman;serif"/>
          <w:b/>
          <w:i/>
          <w:color w:val="000000"/>
          <w:sz w:val="24"/>
        </w:rPr>
        <w:t>Registration Rights Agreement</w:t>
      </w:r>
      <w:r>
        <w:rPr>
          <w:color w:val="000000"/>
        </w:rPr>
        <w:t>”</w:t>
      </w:r>
      <w:r>
        <w:rPr>
          <w:rFonts w:ascii="Times New Roman;serif" w:hAnsi="Times New Roman;serif"/>
          <w:b w:val="false"/>
          <w:color w:val="000000"/>
          <w:sz w:val="24"/>
        </w:rPr>
        <w:t>), by and among INNVENTURE, INC., a Delaware corporation (the “</w:t>
      </w:r>
      <w:r>
        <w:rPr>
          <w:rFonts w:ascii="Times New Roman;serif" w:hAnsi="Times New Roman;serif"/>
          <w:b/>
          <w:i/>
          <w:color w:val="000000"/>
          <w:sz w:val="24"/>
        </w:rPr>
        <w:t>Company</w:t>
      </w:r>
      <w:r>
        <w:rPr>
          <w:color w:val="000000"/>
        </w:rPr>
        <w:t>”</w:t>
      </w:r>
      <w:r>
        <w:rPr>
          <w:rFonts w:ascii="Times New Roman;serif" w:hAnsi="Times New Roman;serif"/>
          <w:b w:val="false"/>
          <w:color w:val="000000"/>
          <w:sz w:val="24"/>
        </w:rPr>
        <w:t>), and the other persons or entities named as parties therein. Capitalized terms used but not otherwise defined herein shall have the meanings provided in the Registration Rights Agreement.</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By executing and delivering this Joinder to the Company, and upon acceptance hereof by the Company upon the execution of a counterpart hereof, the undersigned hereby agrees to become a party to, to be bound by, and to comply with the Registration Rights Agreement as a Holder of Registrable Securities in the same manner as if the undersigned were an original signatory to the Registration Rights Agreement, and the undersigned’s Warrant Shares shall be included as Registrable Securities under the Registration Rights Agreement to the extent provided therein.</w:t>
      </w:r>
    </w:p>
    <w:p>
      <w:pPr>
        <w:pStyle w:val="TextBody"/>
        <w:bidi w:val="0"/>
        <w:spacing w:before="240" w:after="240"/>
        <w:ind w:left="0" w:right="0" w:firstLine="720"/>
        <w:jc w:val="both"/>
        <w:rPr/>
      </w:pPr>
      <w:r>
        <w:rPr/>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Accordingly, the undersigned has executed and delivered this Joinder as of the __________ day of __________, 20__.</w:t>
      </w:r>
    </w:p>
    <w:p>
      <w:pPr>
        <w:pStyle w:val="TextBody"/>
        <w:bidi w:val="0"/>
        <w:spacing w:lineRule="auto" w:line="288" w:before="480" w:after="283"/>
        <w:jc w:val="both"/>
        <w:rPr/>
      </w:pPr>
      <w:r>
        <w:rPr>
          <w:color w:val="000000"/>
          <w:u w:val="single"/>
        </w:rPr>
        <w:t>            </w:t>
      </w:r>
      <w:r>
        <w:rPr>
          <w:rFonts w:ascii="Times New Roman;serif" w:hAnsi="Times New Roman;serif"/>
          <w:b w:val="false"/>
          <w:color w:val="000000"/>
          <w:sz w:val="24"/>
          <w:u w:val="single"/>
        </w:rPr>
        <w:br/>
      </w:r>
      <w:r>
        <w:rPr>
          <w:rFonts w:ascii="Times New Roman;serif" w:hAnsi="Times New Roman;serif"/>
          <w:b w:val="false"/>
          <w:color w:val="000000"/>
          <w:sz w:val="24"/>
        </w:rPr>
        <w:t>Signature of Shareholder</w:t>
      </w:r>
    </w:p>
    <w:p>
      <w:pPr>
        <w:pStyle w:val="TextBody"/>
        <w:bidi w:val="0"/>
        <w:spacing w:lineRule="auto" w:line="288" w:before="480" w:after="283"/>
        <w:jc w:val="both"/>
        <w:rPr/>
      </w:pPr>
      <w:r>
        <w:rPr>
          <w:color w:val="000000"/>
          <w:u w:val="single"/>
        </w:rPr>
        <w:t>            </w:t>
      </w:r>
      <w:r>
        <w:rPr>
          <w:rFonts w:ascii="Times New Roman;serif" w:hAnsi="Times New Roman;serif"/>
          <w:b w:val="false"/>
          <w:color w:val="000000"/>
          <w:sz w:val="24"/>
          <w:u w:val="single"/>
        </w:rPr>
        <w:br/>
      </w:r>
      <w:r>
        <w:rPr>
          <w:rFonts w:ascii="Times New Roman;serif" w:hAnsi="Times New Roman;serif"/>
          <w:b w:val="false"/>
          <w:color w:val="000000"/>
          <w:sz w:val="24"/>
        </w:rPr>
        <w:t>Print Name of Shareholder</w:t>
        <w:br/>
        <w:t>Its:</w:t>
      </w:r>
    </w:p>
    <w:p>
      <w:pPr>
        <w:pStyle w:val="TextBody"/>
        <w:bidi w:val="0"/>
        <w:spacing w:lineRule="auto" w:line="288" w:before="480" w:after="283"/>
        <w:jc w:val="both"/>
        <w:rPr/>
      </w:pPr>
      <w:r>
        <w:rPr>
          <w:rFonts w:ascii="Times New Roman;serif" w:hAnsi="Times New Roman;serif"/>
          <w:b w:val="false"/>
          <w:color w:val="000000"/>
          <w:sz w:val="24"/>
        </w:rPr>
        <w:t xml:space="preserve">Address: </w:t>
      </w:r>
      <w:r>
        <w:rPr>
          <w:color w:val="000000"/>
          <w:u w:val="single"/>
        </w:rPr>
        <w:t>        </w:t>
      </w:r>
      <w:r>
        <w:rPr>
          <w:rFonts w:ascii="Times New Roman;serif" w:hAnsi="Times New Roman;serif"/>
          <w:b w:val="false"/>
          <w:color w:val="000000"/>
          <w:sz w:val="24"/>
          <w:u w:val="single"/>
        </w:rPr>
        <w:br/>
        <w:t>            </w:t>
        <w:br/>
        <w:t>            </w:t>
      </w:r>
    </w:p>
    <w:p>
      <w:pPr>
        <w:pStyle w:val="TextBody"/>
        <w:bidi w:val="0"/>
        <w:spacing w:lineRule="auto" w:line="288" w:before="240" w:after="240"/>
        <w:jc w:val="left"/>
        <w:rPr>
          <w:rFonts w:ascii="Times New Roman;serif" w:hAnsi="Times New Roman;serif"/>
          <w:b w:val="false"/>
          <w:color w:val="000000"/>
          <w:sz w:val="24"/>
        </w:rPr>
      </w:pPr>
      <w:r>
        <w:rPr>
          <w:rFonts w:ascii="Times New Roman;serif" w:hAnsi="Times New Roman;serif"/>
          <w:b w:val="false"/>
          <w:color w:val="000000"/>
          <w:sz w:val="24"/>
        </w:rPr>
        <w:t>Agreed and Accepted as of</w:t>
        <w:br/>
        <w:t>____________, 20__</w:t>
      </w:r>
    </w:p>
    <w:p>
      <w:pPr>
        <w:pStyle w:val="TextBody"/>
        <w:bidi w:val="0"/>
        <w:spacing w:lineRule="auto" w:line="288" w:before="240" w:after="240"/>
        <w:jc w:val="left"/>
        <w:rPr>
          <w:rFonts w:ascii="Times New Roman;serif" w:hAnsi="Times New Roman;serif"/>
          <w:b/>
          <w:color w:val="000000"/>
          <w:sz w:val="24"/>
        </w:rPr>
      </w:pPr>
      <w:r>
        <w:rPr>
          <w:rFonts w:ascii="Times New Roman;serif" w:hAnsi="Times New Roman;serif"/>
          <w:b/>
          <w:color w:val="000000"/>
          <w:sz w:val="24"/>
        </w:rPr>
        <w:t>INNVENTURE, INC.</w:t>
      </w:r>
    </w:p>
    <w:p>
      <w:pPr>
        <w:pStyle w:val="TextBody"/>
        <w:bidi w:val="0"/>
        <w:spacing w:lineRule="auto" w:line="288" w:before="0" w:after="0"/>
        <w:jc w:val="both"/>
        <w:rPr/>
      </w:pPr>
      <w:r>
        <w:rPr>
          <w:rFonts w:ascii="Times New Roman;serif" w:hAnsi="Times New Roman;serif"/>
          <w:b w:val="false"/>
          <w:color w:val="000000"/>
          <w:sz w:val="24"/>
        </w:rPr>
        <w:t xml:space="preserve">By: </w:t>
      </w:r>
      <w:r>
        <w:rPr>
          <w:color w:val="000000"/>
          <w:u w:val="single"/>
        </w:rPr>
        <w:t>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Its:</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75260"/>
                <wp:effectExtent l="0" t="0" r="0" b="0"/>
                <wp:wrapNone/>
                <wp:docPr id="176" name="Frame1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23.1</w:t>
      </w:r>
    </w:p>
    <w:p>
      <w:pPr>
        <w:pStyle w:val="TextBody"/>
        <w:bidi w:val="0"/>
        <w:spacing w:lineRule="auto" w:line="288" w:before="120" w:after="120"/>
        <w:jc w:val="center"/>
        <w:rPr>
          <w:rFonts w:ascii="Times New Roman;serif" w:hAnsi="Times New Roman;serif"/>
          <w:b/>
          <w:color w:val="000000"/>
          <w:sz w:val="24"/>
        </w:rPr>
      </w:pPr>
      <w:r>
        <w:rPr>
          <w:rFonts w:ascii="Times New Roman;serif" w:hAnsi="Times New Roman;serif"/>
          <w:b/>
          <w:color w:val="000000"/>
          <w:sz w:val="24"/>
        </w:rPr>
        <w:t>CONSENT OF INDEPENDENT REGISTERED PUBLIC ACCOUNTING FIRM</w:t>
      </w:r>
    </w:p>
    <w:p>
      <w:pPr>
        <w:pStyle w:val="TextBody"/>
        <w:bidi w:val="0"/>
        <w:spacing w:before="0" w:after="0"/>
        <w:jc w:val="both"/>
        <w:rPr/>
      </w:pPr>
      <w:r>
        <w:rPr/>
      </w:r>
    </w:p>
    <w:p>
      <w:pPr>
        <w:pStyle w:val="TextBody"/>
        <w:bidi w:val="0"/>
        <w:spacing w:lineRule="auto" w:line="259" w:before="0" w:after="0"/>
        <w:jc w:val="both"/>
        <w:rPr>
          <w:rFonts w:ascii="Times New Roman;serif" w:hAnsi="Times New Roman;serif"/>
          <w:b w:val="false"/>
          <w:color w:val="000000"/>
          <w:sz w:val="20"/>
        </w:rPr>
      </w:pPr>
      <w:r>
        <w:rPr>
          <w:rFonts w:ascii="Times New Roman;serif" w:hAnsi="Times New Roman;serif"/>
          <w:b w:val="false"/>
          <w:color w:val="000000"/>
          <w:sz w:val="20"/>
        </w:rPr>
        <w:t>We hereby consent to the incorporation by reference in the Registration Statements on Form S-3 (Nos. 333-292427 and 333-294419) and Form S-8 (No. 333-283696) of our report dated March 30, 2026, relating to the consolidated financial statements of Innventure, Inc. and subsidiaries (the “Company”) as of and for the year ended December 31, 2025, which included an explanatory paragraph related to the Company’s ability to continue as a going concern, included in this Annual Report on Form 10-K for the year ended December 31, 2025.</w:t>
      </w:r>
    </w:p>
    <w:p>
      <w:pPr>
        <w:pStyle w:val="TextBody"/>
        <w:bidi w:val="0"/>
        <w:spacing w:before="0" w:after="0"/>
        <w:jc w:val="both"/>
        <w:rPr/>
      </w:pPr>
      <w:r>
        <w:rPr/>
      </w:r>
    </w:p>
    <w:p>
      <w:pPr>
        <w:pStyle w:val="TextBody"/>
        <w:bidi w:val="0"/>
        <w:spacing w:lineRule="auto" w:line="362" w:before="0" w:after="0"/>
        <w:jc w:val="both"/>
        <w:rPr>
          <w:rFonts w:ascii="Times New Roman;serif" w:hAnsi="Times New Roman;serif"/>
          <w:b w:val="false"/>
          <w:color w:val="000000"/>
          <w:sz w:val="20"/>
        </w:rPr>
      </w:pPr>
      <w:r>
        <w:rPr>
          <w:rFonts w:ascii="Times New Roman;serif" w:hAnsi="Times New Roman;serif"/>
          <w:b w:val="false"/>
          <w:color w:val="000000"/>
          <w:sz w:val="20"/>
        </w:rPr>
        <w:t>/s/ WithumSmith+Brown, PC</w:t>
      </w:r>
    </w:p>
    <w:p>
      <w:pPr>
        <w:pStyle w:val="TextBody"/>
        <w:bidi w:val="0"/>
        <w:spacing w:before="0" w:after="0"/>
        <w:jc w:val="both"/>
        <w:rPr/>
      </w:pPr>
      <w:r>
        <w:rPr/>
      </w:r>
    </w:p>
    <w:p>
      <w:pPr>
        <w:pStyle w:val="TextBody"/>
        <w:bidi w:val="0"/>
        <w:spacing w:lineRule="auto" w:line="362" w:before="0" w:after="0"/>
        <w:jc w:val="both"/>
        <w:rPr>
          <w:rFonts w:ascii="Times New Roman;serif" w:hAnsi="Times New Roman;serif"/>
          <w:b w:val="false"/>
          <w:color w:val="000000"/>
          <w:sz w:val="20"/>
        </w:rPr>
      </w:pPr>
      <w:r>
        <w:rPr>
          <w:rFonts w:ascii="Times New Roman;serif" w:hAnsi="Times New Roman;serif"/>
          <w:b w:val="false"/>
          <w:color w:val="000000"/>
          <w:sz w:val="20"/>
        </w:rPr>
        <w:t>Orlando, Florida</w:t>
      </w:r>
    </w:p>
    <w:p>
      <w:pPr>
        <w:pStyle w:val="TextBody"/>
        <w:bidi w:val="0"/>
        <w:spacing w:lineRule="auto" w:line="362"/>
        <w:jc w:val="both"/>
        <w:rPr>
          <w:rFonts w:ascii="Times New Roman;serif" w:hAnsi="Times New Roman;serif"/>
          <w:b w:val="false"/>
          <w:color w:val="000000"/>
          <w:sz w:val="20"/>
        </w:rPr>
      </w:pPr>
      <w:r>
        <w:rPr>
          <w:rFonts w:ascii="Times New Roman;serif" w:hAnsi="Times New Roman;serif"/>
          <w:b w:val="false"/>
          <w:color w:val="000000"/>
          <w:sz w:val="20"/>
        </w:rPr>
        <w:t>March 30,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23.2</w:t>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75260"/>
                <wp:effectExtent l="0" t="0" r="0" b="0"/>
                <wp:wrapNone/>
                <wp:docPr id="177" name="Frame1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1"/>
          <w:u w:val="single"/>
        </w:rPr>
      </w:pPr>
      <w:r>
        <w:rPr>
          <w:rFonts w:ascii="Times New Roman;serif" w:hAnsi="Times New Roman;serif"/>
          <w:b w:val="false"/>
          <w:color w:val="000000"/>
          <w:sz w:val="21"/>
          <w:u w:val="single"/>
        </w:rPr>
        <w:t>Consent of Independent Registered Public Accounting Firm</w:t>
      </w:r>
    </w:p>
    <w:p>
      <w:pPr>
        <w:pStyle w:val="TextBody"/>
        <w:bidi w:val="0"/>
        <w:spacing w:before="240" w:after="283"/>
        <w:jc w:val="both"/>
        <w:rPr/>
      </w:pPr>
      <w:r>
        <w:rPr/>
      </w:r>
    </w:p>
    <w:p>
      <w:pPr>
        <w:pStyle w:val="TextBody"/>
        <w:bidi w:val="0"/>
        <w:spacing w:lineRule="auto" w:line="288" w:before="240" w:after="283"/>
        <w:jc w:val="both"/>
        <w:rPr>
          <w:rFonts w:ascii="Times New Roman;serif" w:hAnsi="Times New Roman;serif"/>
          <w:b w:val="false"/>
          <w:color w:val="000000"/>
          <w:sz w:val="21"/>
        </w:rPr>
      </w:pPr>
      <w:r>
        <w:rPr>
          <w:rFonts w:ascii="Times New Roman;serif" w:hAnsi="Times New Roman;serif"/>
          <w:b w:val="false"/>
          <w:color w:val="000000"/>
          <w:sz w:val="21"/>
        </w:rPr>
        <w:t xml:space="preserve">We hereby consent to the incorporation by reference in the Registration Statements on Form S-3 (Nos. 333-292427 and 333-294419) and Form S-8 (No. 333-283696) of Innventure, Inc. (the Company) of our report dated April 14, 2025, relating to the consolidated financial statements, which appears in this Annual Report on Form 10-K. Our report contains an explanatory paragraph regarding the Company’s ability to continue as a going concern. </w:t>
      </w:r>
    </w:p>
    <w:p>
      <w:pPr>
        <w:pStyle w:val="TextBody"/>
        <w:bidi w:val="0"/>
        <w:spacing w:before="240" w:after="283"/>
        <w:jc w:val="both"/>
        <w:rPr/>
      </w:pPr>
      <w:r>
        <w:rPr/>
      </w:r>
    </w:p>
    <w:p>
      <w:pPr>
        <w:pStyle w:val="TextBody"/>
        <w:bidi w:val="0"/>
        <w:spacing w:lineRule="auto" w:line="240" w:before="240" w:after="283"/>
        <w:jc w:val="both"/>
        <w:rPr>
          <w:rFonts w:ascii="Times New Roman;serif" w:hAnsi="Times New Roman;serif"/>
          <w:b w:val="false"/>
          <w:color w:val="000000"/>
          <w:sz w:val="21"/>
        </w:rPr>
      </w:pPr>
      <w:r>
        <w:rPr>
          <w:rFonts w:ascii="Times New Roman;serif" w:hAnsi="Times New Roman;serif"/>
          <w:b w:val="false"/>
          <w:color w:val="000000"/>
          <w:sz w:val="21"/>
        </w:rPr>
        <w:t xml:space="preserve">/s/ BDO USA, P.C. </w:t>
      </w:r>
    </w:p>
    <w:p>
      <w:pPr>
        <w:pStyle w:val="TextBody"/>
        <w:bidi w:val="0"/>
        <w:spacing w:lineRule="auto" w:line="240" w:before="240" w:after="283"/>
        <w:jc w:val="both"/>
        <w:rPr>
          <w:rFonts w:ascii="Times New Roman;serif" w:hAnsi="Times New Roman;serif"/>
          <w:b w:val="false"/>
          <w:color w:val="000000"/>
          <w:sz w:val="21"/>
        </w:rPr>
      </w:pPr>
      <w:r>
        <w:rPr>
          <w:rFonts w:ascii="Times New Roman;serif" w:hAnsi="Times New Roman;serif"/>
          <w:b w:val="false"/>
          <w:color w:val="000000"/>
          <w:sz w:val="21"/>
        </w:rPr>
        <w:t xml:space="preserve">Raleigh, North Carolina </w:t>
        <w:br/>
        <w:t>March 30, 2026</w:t>
      </w:r>
    </w:p>
    <w:p>
      <w:pPr>
        <w:pStyle w:val="TextBody"/>
        <w:bidi w:val="0"/>
        <w:spacing w:before="0" w:after="0"/>
        <w:jc w:val="both"/>
        <w:rPr/>
      </w:pPr>
      <w:r>
        <w:rPr/>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31.1</w:t>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701040"/>
                <wp:effectExtent l="0" t="0" r="0" b="0"/>
                <wp:wrapNone/>
                <wp:docPr id="178" name="Frame177"/>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Gregory W. Haskell, certify that: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10-K of Innventure, Inc.;</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March 30, 2026</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By:</w:t>
      </w:r>
      <w:r>
        <w:rPr>
          <w:color w:val="000000"/>
          <w:u w:val="single"/>
        </w:rPr>
        <w:t>     </w:t>
      </w:r>
      <w:r>
        <w:rPr>
          <w:rFonts w:ascii="Times New Roman;serif" w:hAnsi="Times New Roman;serif"/>
          <w:b w:val="false"/>
          <w:color w:val="000000"/>
          <w:sz w:val="24"/>
          <w:u w:val="single"/>
        </w:rPr>
        <w:t>/s/ Gregory W. Haskell</w:t>
      </w:r>
      <w:r>
        <w:rPr>
          <w:color w:val="000000"/>
          <w:u w:val="single"/>
        </w:rPr>
        <w:t>                                            </w:t>
      </w: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Gregory W. Haskell</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p>
      <w:pPr>
        <w:pStyle w:val="TextBody"/>
        <w:bidi w:val="0"/>
        <w:spacing w:lineRule="auto" w:line="288"/>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31.2</w:t>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75260"/>
                <wp:effectExtent l="0" t="0" r="0" b="0"/>
                <wp:wrapNone/>
                <wp:docPr id="179" name="Frame1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David Yablunosky, certify that: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10-K of Innventure, Inc.;</w:t>
      </w:r>
    </w:p>
    <w:p>
      <w:pPr>
        <w:pStyle w:val="TextBody"/>
        <w:bidi w:val="0"/>
        <w:spacing w:before="0" w:after="0"/>
        <w:ind w:left="0" w:right="0" w:hanging="36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March 30, 2026</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By: </w:t>
      </w:r>
      <w:r>
        <w:rPr>
          <w:color w:val="000000"/>
          <w:u w:val="single"/>
        </w:rPr>
        <w:t>      </w:t>
      </w:r>
      <w:r>
        <w:rPr>
          <w:rFonts w:ascii="Times New Roman;serif" w:hAnsi="Times New Roman;serif"/>
          <w:b w:val="false"/>
          <w:color w:val="000000"/>
          <w:sz w:val="24"/>
          <w:u w:val="single"/>
        </w:rPr>
        <w:t>/s/ David Yablunosky</w:t>
      </w:r>
      <w:r>
        <w:rPr>
          <w:color w:val="000000"/>
          <w:u w:val="single"/>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David Yablunosky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extBody"/>
        <w:bidi w:val="0"/>
        <w:spacing w:lineRule="auto" w:line="288"/>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32.1</w:t>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75260"/>
                <wp:effectExtent l="0" t="0" r="0" b="0"/>
                <wp:wrapNone/>
                <wp:docPr id="180" name="Frame1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 OF THE SARBANES-OXLEY ACT OF 2002</w:t>
      </w:r>
    </w:p>
    <w:p>
      <w:pPr>
        <w:pStyle w:val="TextBody"/>
        <w:bidi w:val="0"/>
        <w:spacing w:before="0" w:after="0"/>
        <w:jc w:val="center"/>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connection with the Annual Report of Innventure, Inc. (the “Company”) on Form 10-K for the three months ended December 31, 2025 (the “Report”), Gregory W. Haskell, Chief Executive Officer of the Company, certifies, to the best of his knowledge, pursuant to 18 U.S.C. Section 1350, as adopted pursuant to Section 906 of the Sarbanes-Oxley Act of 2002, that: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March 30, 2026</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By: </w:t>
      </w:r>
      <w:r>
        <w:rPr>
          <w:color w:val="000000"/>
          <w:u w:val="single"/>
        </w:rPr>
        <w:t>    </w:t>
      </w:r>
      <w:r>
        <w:rPr>
          <w:rFonts w:ascii="Times New Roman;serif" w:hAnsi="Times New Roman;serif"/>
          <w:b w:val="false"/>
          <w:color w:val="000000"/>
          <w:sz w:val="24"/>
          <w:u w:val="single"/>
        </w:rPr>
        <w:t>/s/ Gregory W. Haskell</w:t>
      </w:r>
      <w:r>
        <w:rPr>
          <w:color w:val="000000"/>
          <w:u w:val="single"/>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Gregory W. Haskell</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32.2</w:t>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75260"/>
                <wp:effectExtent l="0" t="0" r="0" b="0"/>
                <wp:wrapNone/>
                <wp:docPr id="181" name="Frame1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 OF THE SARBANES-OXLEY ACT OF 2002</w:t>
      </w:r>
    </w:p>
    <w:p>
      <w:pPr>
        <w:pStyle w:val="TextBody"/>
        <w:bidi w:val="0"/>
        <w:spacing w:before="0" w:after="0"/>
        <w:jc w:val="center"/>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connection with the Annual Report of Innventure, Inc. (the “Company”) on Form 10-K for the three months ended December 31, 2025 (the “Report”), David Yablunosky, Chief Financial Officer of the Company, certifies, to the best of his knowledge, pursuant to 18 U.S.C. Section 1350, as adopted pursuant to Section 906 of the Sarbanes-Oxley Act of 2002, that: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March 30, 2026</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By: </w:t>
      </w:r>
      <w:r>
        <w:rPr>
          <w:color w:val="000000"/>
          <w:u w:val="single"/>
        </w:rPr>
        <w:t>       </w:t>
      </w:r>
      <w:r>
        <w:rPr>
          <w:rFonts w:ascii="Times New Roman;serif" w:hAnsi="Times New Roman;serif"/>
          <w:b w:val="false"/>
          <w:color w:val="000000"/>
          <w:sz w:val="24"/>
          <w:u w:val="single"/>
        </w:rPr>
        <w:t>/s/ David Yablunosky</w:t>
      </w:r>
      <w:r>
        <w:rPr>
          <w:color w:val="000000"/>
          <w:u w:val="single"/>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David Yablunosky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75260"/>
                <wp:effectExtent l="0" t="0" r="0" b="0"/>
                <wp:wrapNone/>
                <wp:docPr id="182" name="Frame1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2001557/000114036124043179/ef20036737_ex3-1.htm" TargetMode="External"/><Relationship Id="rId4" Type="http://schemas.openxmlformats.org/officeDocument/2006/relationships/hyperlink" Target="https://www.sec.gov/Archives/edgar/data/2001557/000114036124043179/ef20036737_ex3-2.htm" TargetMode="External"/><Relationship Id="rId5" Type="http://schemas.openxmlformats.org/officeDocument/2006/relationships/hyperlink" Target="https://www.sec.gov/Archives/edgar/data/2001557/000114036124043179/ef20036737_ex3-3.htm" TargetMode="External"/><Relationship Id="rId6" Type="http://schemas.openxmlformats.org/officeDocument/2006/relationships/hyperlink" Target="https://www.sec.gov/Archives/edgar/data/2001557/000114036125010165/ef20045914_ex3-1.htm" TargetMode="External"/><Relationship Id="rId7" Type="http://schemas.openxmlformats.org/officeDocument/2006/relationships/hyperlink" Target="https://www.sec.gov/Archives/edgar/data/2001557/000162828025017614/exhibit41to2024description.htm" TargetMode="External"/><Relationship Id="rId8" Type="http://schemas.openxmlformats.org/officeDocument/2006/relationships/hyperlink" Target="https://www.sec.gov/Archives/edgar/data/2001557/000162828025017614/exhibit41to2024description.htm" TargetMode="External"/><Relationship Id="rId9" Type="http://schemas.openxmlformats.org/officeDocument/2006/relationships/hyperlink" Target="https://www.sec.gov/Archives/edgar/data/2001557/000114036124025505/ny20012992x12_ex4-3.htm" TargetMode="External"/><Relationship Id="rId10" Type="http://schemas.openxmlformats.org/officeDocument/2006/relationships/hyperlink" Target="https://www.sec.gov/Archives/edgar/data/2001557/000114036124025505/ny20012992x12_ex4-4.htm" TargetMode="External"/><Relationship Id="rId11" Type="http://schemas.openxmlformats.org/officeDocument/2006/relationships/hyperlink" Target="https://www.sec.gov/Archives/edgar/data/2001557/000114036124025505/ny20012992x12_ex4-5.htm" TargetMode="External"/><Relationship Id="rId12" Type="http://schemas.openxmlformats.org/officeDocument/2006/relationships/hyperlink" Target="https://www.sec.gov/Archives/edgar/data/2001557/000114036124025505/ny20012992x12_ex4-6.htm" TargetMode="External"/><Relationship Id="rId13" Type="http://schemas.openxmlformats.org/officeDocument/2006/relationships/hyperlink" Target="https://www.sec.gov/Archives/edgar/data/2001557/000114036124025505/ny20012992x12_ex4-8.htm" TargetMode="External"/><Relationship Id="rId14" Type="http://schemas.openxmlformats.org/officeDocument/2006/relationships/hyperlink" Target="https://www.sec.gov/Archives/edgar/data/2001557/000114036124044030/ef20037576_ex4-1.htm" TargetMode="External"/><Relationship Id="rId15" Type="http://schemas.openxmlformats.org/officeDocument/2006/relationships/hyperlink" Target="https://www.sec.gov/Archives/edgar/data/2001557/000114036124044030/ef20037576_ex4-2.htm" TargetMode="External"/><Relationship Id="rId16" Type="http://schemas.openxmlformats.org/officeDocument/2006/relationships/hyperlink" Target="https://www.sec.gov/Archives/edgar/data/1847577/000114036121034554/nt10022269x10_ex10-4.htm" TargetMode="External"/><Relationship Id="rId17" Type="http://schemas.openxmlformats.org/officeDocument/2006/relationships/hyperlink" Target="https://www.sec.gov/Archives/edgar/data/2001557/000162828025017703/exhibit42-wtifundxllcwar.htm" TargetMode="External"/><Relationship Id="rId18" Type="http://schemas.openxmlformats.org/officeDocument/2006/relationships/hyperlink" Target="https://www.sec.gov/Archives/edgar/data/2001557/000162828025017703/exhibit42-wtifundxllcwar.htm" TargetMode="External"/><Relationship Id="rId19" Type="http://schemas.openxmlformats.org/officeDocument/2006/relationships/hyperlink" Target="https://www.sec.gov/Archives/edgar/data/2001557/000162828025017703/exhibit42-wtifundxllcwar.htm" TargetMode="External"/><Relationship Id="rId20" Type="http://schemas.openxmlformats.org/officeDocument/2006/relationships/hyperlink" Target="https://www.sec.gov/Archives/edgar/data/2001557/000162828025017703/exhibit42-wtifundxllcwar.htm" TargetMode="External"/><Relationship Id="rId21" Type="http://schemas.openxmlformats.org/officeDocument/2006/relationships/hyperlink" Target="https://www.sec.gov/Archives/edgar/data/2001557/000162828025017703/exhibit42-wtifundxllcwar.htm" TargetMode="External"/><Relationship Id="rId22" Type="http://schemas.openxmlformats.org/officeDocument/2006/relationships/hyperlink" Target="https://www.sec.gov/Archives/edgar/data/2001557/000162828025017703/exhibit43-wtifundxillcwa.htm" TargetMode="External"/><Relationship Id="rId23" Type="http://schemas.openxmlformats.org/officeDocument/2006/relationships/hyperlink" Target="https://www.sec.gov/Archives/edgar/data/2001557/000162828025017703/exhibit43-wtifundxillcwa.htm" TargetMode="External"/><Relationship Id="rId24" Type="http://schemas.openxmlformats.org/officeDocument/2006/relationships/hyperlink" Target="https://www.sec.gov/Archives/edgar/data/2001557/000162828025017703/exhibit43-wtifundxillcwa.htm" TargetMode="External"/><Relationship Id="rId25" Type="http://schemas.openxmlformats.org/officeDocument/2006/relationships/hyperlink" Target="https://www.sec.gov/Archives/edgar/data/2001557/000162828025017703/exhibit43-wtifundxillcwa.htm" TargetMode="External"/><Relationship Id="rId26" Type="http://schemas.openxmlformats.org/officeDocument/2006/relationships/hyperlink" Target="https://www.sec.gov/Archives/edgar/data/2001557/000162828025017703/exhibit43-wtifundxillcwa.htm" TargetMode="External"/><Relationship Id="rId27" Type="http://schemas.openxmlformats.org/officeDocument/2006/relationships/hyperlink" Target="https://www.sec.gov/Archives/edgar/data/2001557/000114036125037342/ef20056646_ex4-1.htm" TargetMode="External"/><Relationship Id="rId28" Type="http://schemas.openxmlformats.org/officeDocument/2006/relationships/hyperlink" Target="https://www.sec.gov/Archives/edgar/data/2001557/000114036125037342/ef20056646_ex4-1.htm" TargetMode="External"/><Relationship Id="rId29" Type="http://schemas.openxmlformats.org/officeDocument/2006/relationships/hyperlink" Target="https://www.sec.gov/Archives/edgar/data/2001557/000114036125037342/ef20056646_ex4-1.htm" TargetMode="External"/><Relationship Id="rId30" Type="http://schemas.openxmlformats.org/officeDocument/2006/relationships/hyperlink" Target="https://www.sec.gov/Archives/edgar/data/2001557/000114036125037342/ef20056646_ex4-1.htm" TargetMode="External"/><Relationship Id="rId31" Type="http://schemas.openxmlformats.org/officeDocument/2006/relationships/hyperlink" Target="https://www.sec.gov/Archives/edgar/data/2001557/000114036125037342/ef20056646_ex4-1.htm" TargetMode="External"/><Relationship Id="rId32" Type="http://schemas.openxmlformats.org/officeDocument/2006/relationships/hyperlink" Target="https://www.sec.gov/Archives/edgar/data/2001557/000114036125037342/ef20056646_ex4-1.htm" TargetMode="External"/><Relationship Id="rId33" Type="http://schemas.openxmlformats.org/officeDocument/2006/relationships/hyperlink" Target="https://www.sec.gov/Archives/edgar/data/2001557/000114036125037342/ef20056646_ex4-1.htm" TargetMode="External"/><Relationship Id="rId34" Type="http://schemas.openxmlformats.org/officeDocument/2006/relationships/hyperlink" Target="https://www.sec.gov/Archives/edgar/data/2001557/000114036125037342/ef20056646_ex4-1.htm" TargetMode="External"/><Relationship Id="rId35" Type="http://schemas.openxmlformats.org/officeDocument/2006/relationships/hyperlink" Target="https://www.sec.gov/Archives/edgar/data/2001557/000114036125037342/ef20056646_ex4-1.htm" TargetMode="External"/><Relationship Id="rId36" Type="http://schemas.openxmlformats.org/officeDocument/2006/relationships/hyperlink" Target="https://www.sec.gov/Archives/edgar/data/2001557/000114036125037342/ef20056646_ex4-1.htm" TargetMode="External"/><Relationship Id="rId37" Type="http://schemas.openxmlformats.org/officeDocument/2006/relationships/hyperlink" Target="https://www.sec.gov/Archives/edgar/data/2001557/000114036125037342/ef20056646_ex4-1.htm" TargetMode="External"/><Relationship Id="rId38" Type="http://schemas.openxmlformats.org/officeDocument/2006/relationships/hyperlink" Target="https://www.sec.gov/Archives/edgar/data/2001557/000114036125037342/ef20056646_ex4-1.htm" TargetMode="External"/><Relationship Id="rId39" Type="http://schemas.openxmlformats.org/officeDocument/2006/relationships/hyperlink" Target="https://www.sec.gov/Archives/edgar/data/2001557/000114036125037342/ef20056646_ex4-1.htm" TargetMode="External"/><Relationship Id="rId40" Type="http://schemas.openxmlformats.org/officeDocument/2006/relationships/hyperlink" Target="https://www.sec.gov/Archives/edgar/data/2001557/000114036124004075/ny20012992x3_ex10-8.htm" TargetMode="External"/><Relationship Id="rId41" Type="http://schemas.openxmlformats.org/officeDocument/2006/relationships/hyperlink" Target="https://www.sec.gov/Archives/edgar/data/2001557/000114036124004075/ny20012992x3_ex10-12.htm" TargetMode="External"/><Relationship Id="rId42" Type="http://schemas.openxmlformats.org/officeDocument/2006/relationships/hyperlink" Target="https://www.sec.gov/Archives/edgar/data/2001557/000114036124004075/ny20012992x3_ex10-13.htm" TargetMode="External"/><Relationship Id="rId43" Type="http://schemas.openxmlformats.org/officeDocument/2006/relationships/hyperlink" Target="https://www.sec.gov/Archives/edgar/data/2001557/000114036124004075/ny20012992x3_ex10-14.htm" TargetMode="External"/><Relationship Id="rId44" Type="http://schemas.openxmlformats.org/officeDocument/2006/relationships/hyperlink" Target="https://www.sec.gov/Archives/edgar/data/2001557/000114036124004075/ny20012992x3_ex10-15.htm" TargetMode="External"/><Relationship Id="rId45" Type="http://schemas.openxmlformats.org/officeDocument/2006/relationships/hyperlink" Target="https://www.sec.gov/Archives/edgar/data/2001557/000114036124019672/ny20012992x7_ex10-25.htm" TargetMode="External"/><Relationship Id="rId46" Type="http://schemas.openxmlformats.org/officeDocument/2006/relationships/hyperlink" Target="https://www.sec.gov/Archives/edgar/data/2001557/000114036124019672/ny20012992x7_ex10-26.htm" TargetMode="External"/><Relationship Id="rId47" Type="http://schemas.openxmlformats.org/officeDocument/2006/relationships/hyperlink" Target="https://www.sec.gov/Archives/edgar/data/2001557/000114036124033924/ny20012992x19_ex10-32.htm" TargetMode="External"/><Relationship Id="rId48" Type="http://schemas.openxmlformats.org/officeDocument/2006/relationships/hyperlink" Target="https://www.sec.gov/Archives/edgar/data/2001557/000114036124030557/ny20012992x17_ex10-34.htm" TargetMode="External"/><Relationship Id="rId49" Type="http://schemas.openxmlformats.org/officeDocument/2006/relationships/hyperlink" Target="https://www.sec.gov/Archives/edgar/data/2001557/000114036124004075/ny20012992x3_ex10-28.htm" TargetMode="External"/><Relationship Id="rId50" Type="http://schemas.openxmlformats.org/officeDocument/2006/relationships/hyperlink" Target="https://www.sec.gov/Archives/edgar/data/1847577/000114036121034554/nt10022269x10_ex4-1.htm" TargetMode="External"/><Relationship Id="rId51" Type="http://schemas.openxmlformats.org/officeDocument/2006/relationships/hyperlink" Target="https://www.sec.gov/Archives/edgar/data/2001557/000114036124043179/ef20036737_ex10-2.htm" TargetMode="External"/><Relationship Id="rId52" Type="http://schemas.openxmlformats.org/officeDocument/2006/relationships/hyperlink" Target="https://www.sec.gov/Archives/edgar/data/2001557/000114036124043179/ef20036737_ex10-3.htm" TargetMode="External"/><Relationship Id="rId53" Type="http://schemas.openxmlformats.org/officeDocument/2006/relationships/hyperlink" Target="https://www.sec.gov/Archives/edgar/data/2001557/000114036124043179/ef20036737_ex10-4.htm" TargetMode="External"/><Relationship Id="rId54" Type="http://schemas.openxmlformats.org/officeDocument/2006/relationships/hyperlink" Target="https://www.sec.gov/Archives/edgar/data/2001557/000114036124043179/ef20036737_ex10-7.htm" TargetMode="External"/><Relationship Id="rId55" Type="http://schemas.openxmlformats.org/officeDocument/2006/relationships/hyperlink" Target="https://www.sec.gov/Archives/edgar/data/2001557/000114036124043179/ef20036737_ex10-7.htm" TargetMode="External"/><Relationship Id="rId56" Type="http://schemas.openxmlformats.org/officeDocument/2006/relationships/hyperlink" Target="https://www.sec.gov/Archives/edgar/data/2001557/000114036124043179/ef20036737_ex10-7.htm" TargetMode="External"/><Relationship Id="rId57" Type="http://schemas.openxmlformats.org/officeDocument/2006/relationships/hyperlink" Target="https://www.sec.gov/Archives/edgar/data/2001557/000162828025052929/ex101innventure2ndarnon-ma.htm" TargetMode="External"/><Relationship Id="rId58" Type="http://schemas.openxmlformats.org/officeDocument/2006/relationships/hyperlink" Target="https://www.sec.gov/Archives/edgar/data/2001557/000162828025052929/ex101innventure2ndarnon-ma.htm" TargetMode="External"/><Relationship Id="rId59" Type="http://schemas.openxmlformats.org/officeDocument/2006/relationships/hyperlink" Target="https://www.sec.gov/Archives/edgar/data/2001557/000162828025052929/ex101innventure2ndarnon-ma.htm" TargetMode="External"/><Relationship Id="rId60" Type="http://schemas.openxmlformats.org/officeDocument/2006/relationships/hyperlink" Target="https://www.sec.gov/Archives/edgar/data/2001557/000162828025052929/ex101innventure2ndarnon-ma.htm" TargetMode="External"/><Relationship Id="rId61" Type="http://schemas.openxmlformats.org/officeDocument/2006/relationships/hyperlink" Target="https://www.sec.gov/Archives/edgar/data/2001557/000162828025052929/ex101innventure2ndarnon-ma.htm" TargetMode="External"/><Relationship Id="rId62" Type="http://schemas.openxmlformats.org/officeDocument/2006/relationships/hyperlink" Target="https://www.sec.gov/Archives/edgar/data/2001557/000162828025052929/ex101innventure2ndarnon-ma.htm" TargetMode="External"/><Relationship Id="rId63" Type="http://schemas.openxmlformats.org/officeDocument/2006/relationships/hyperlink" Target="https://www.sec.gov/Archives/edgar/data/2001557/000162828025052929/ex101innventure2ndarnon-ma.htm" TargetMode="External"/><Relationship Id="rId64" Type="http://schemas.openxmlformats.org/officeDocument/2006/relationships/hyperlink" Target="https://www.sec.gov/Archives/edgar/data/2001557/000162828025052929/ex101innventure2ndarnon-ma.htm" TargetMode="External"/><Relationship Id="rId65" Type="http://schemas.openxmlformats.org/officeDocument/2006/relationships/hyperlink" Target="https://www.sec.gov/Archives/edgar/data/2001557/000114036124043179/ef20036737_ex10-9.htm" TargetMode="External"/><Relationship Id="rId66" Type="http://schemas.openxmlformats.org/officeDocument/2006/relationships/hyperlink" Target="https://www.sec.gov/Archives/edgar/data/2001557/000114036124044030/ef20037576_ex10-1.htm" TargetMode="External"/><Relationship Id="rId67" Type="http://schemas.openxmlformats.org/officeDocument/2006/relationships/hyperlink" Target="https://www.sec.gov/Archives/edgar/data/2001557/000114036124044030/ef20037576_ex10-2.htm" TargetMode="External"/><Relationship Id="rId68" Type="http://schemas.openxmlformats.org/officeDocument/2006/relationships/hyperlink" Target="https://www.sec.gov/Archives/edgar/data/2001557/000114036124049398/ef20039943_ex10-1.htm" TargetMode="External"/><Relationship Id="rId69" Type="http://schemas.openxmlformats.org/officeDocument/2006/relationships/hyperlink" Target="https://www.sec.gov/Archives/edgar/data/2001557/000162828025040379/inv-ex1010to2025q210xqform.htm" TargetMode="External"/><Relationship Id="rId70" Type="http://schemas.openxmlformats.org/officeDocument/2006/relationships/hyperlink" Target="https://www.sec.gov/Archives/edgar/data/2001557/000114036124049398/ef20039943_ex10-2.htm" TargetMode="External"/><Relationship Id="rId71" Type="http://schemas.openxmlformats.org/officeDocument/2006/relationships/hyperlink" Target="https://www.sec.gov/Archives/edgar/data/2001557/000162828025017614/exhibit1035to2024formofnot.htm" TargetMode="External"/><Relationship Id="rId72" Type="http://schemas.openxmlformats.org/officeDocument/2006/relationships/hyperlink" Target="https://www.sec.gov/Archives/edgar/data/2001557/000162828025017614/exhibit1036to2024formofnot.htm" TargetMode="External"/><Relationship Id="rId73" Type="http://schemas.openxmlformats.org/officeDocument/2006/relationships/hyperlink" Target="https://www.sec.gov/Archives/edgar/data/2001557/000114036125010165/ef20045914_ex10-1.htm" TargetMode="External"/><Relationship Id="rId74" Type="http://schemas.openxmlformats.org/officeDocument/2006/relationships/hyperlink" Target="https://www.sec.gov/Archives/edgar/data/2001557/000114036125010165/ef20045914_ex10-2.htm" TargetMode="External"/><Relationship Id="rId75" Type="http://schemas.openxmlformats.org/officeDocument/2006/relationships/hyperlink" Target="https://www.sec.gov/Archives/edgar/data/2001557/000114036125010165/ef20045914_ex10-3.htm" TargetMode="External"/><Relationship Id="rId76" Type="http://schemas.openxmlformats.org/officeDocument/2006/relationships/hyperlink" Target="https://www.sec.gov/Archives/edgar/data/2001557/000162828025033614/exhibit101.htm" TargetMode="External"/><Relationship Id="rId77" Type="http://schemas.openxmlformats.org/officeDocument/2006/relationships/hyperlink" Target="https://www.sec.gov/Archives/edgar/data/2001557/000162828025033614/exhibit101.htm" TargetMode="External"/><Relationship Id="rId78" Type="http://schemas.openxmlformats.org/officeDocument/2006/relationships/hyperlink" Target="https://www.sec.gov/Archives/edgar/data/2001557/000162828025033614/exhibit101.htm" TargetMode="External"/><Relationship Id="rId79" Type="http://schemas.openxmlformats.org/officeDocument/2006/relationships/hyperlink" Target="https://www.sec.gov/Archives/edgar/data/2001557/000162828025033614/exhibit104.htm" TargetMode="External"/><Relationship Id="rId80" Type="http://schemas.openxmlformats.org/officeDocument/2006/relationships/hyperlink" Target="https://www.sec.gov/Archives/edgar/data/2001557/000162828025033968/inv-formxarnokialicensin.htm" TargetMode="External"/><Relationship Id="rId81" Type="http://schemas.openxmlformats.org/officeDocument/2006/relationships/hyperlink" Target="https://www.sec.gov/Archives/edgar/data/2001557/000162828025033968/inv-formxarnokialicensin.htm" TargetMode="External"/><Relationship Id="rId82" Type="http://schemas.openxmlformats.org/officeDocument/2006/relationships/hyperlink" Target="https://www.sec.gov/Archives/edgar/data/2001557/000162828025033968/inv-formxarnokialicensin.htm" TargetMode="External"/><Relationship Id="rId83" Type="http://schemas.openxmlformats.org/officeDocument/2006/relationships/hyperlink" Target="https://www.sec.gov/Archives/edgar/data/2001557/000114036125037342/ef20056646_ex10-1.htm" TargetMode="External"/><Relationship Id="rId84" Type="http://schemas.openxmlformats.org/officeDocument/2006/relationships/hyperlink" Target="https://www.sec.gov/Archives/edgar/data/2001557/000114036125037342/ef20056646_ex10-1.htm" TargetMode="External"/><Relationship Id="rId85" Type="http://schemas.openxmlformats.org/officeDocument/2006/relationships/hyperlink" Target="https://www.sec.gov/Archives/edgar/data/2001557/000114036125037342/ef20056646_ex10-1.htm" TargetMode="External"/><Relationship Id="rId86" Type="http://schemas.openxmlformats.org/officeDocument/2006/relationships/hyperlink" Target="https://www.sec.gov/Archives/edgar/data/2001557/000114036125037342/ef20056646_ex10-1.htm" TargetMode="External"/><Relationship Id="rId87" Type="http://schemas.openxmlformats.org/officeDocument/2006/relationships/hyperlink" Target="https://www.sec.gov/Archives/edgar/data/2001557/000114036125037342/ef20056646_ex10-1.htm" TargetMode="External"/><Relationship Id="rId88" Type="http://schemas.openxmlformats.org/officeDocument/2006/relationships/hyperlink" Target="https://www.sec.gov/Archives/edgar/data/2001557/000114036125037342/ef20056646_ex10-1.htm" TargetMode="External"/><Relationship Id="rId89" Type="http://schemas.openxmlformats.org/officeDocument/2006/relationships/hyperlink" Target="https://www.sec.gov/Archives/edgar/data/2001557/000114036125037342/ef20056646_ex10-1.htm" TargetMode="External"/><Relationship Id="rId90" Type="http://schemas.openxmlformats.org/officeDocument/2006/relationships/hyperlink" Target="https://www.sec.gov/Archives/edgar/data/2001557/000162828025017614/exhibit1043-innventure2025.htm" TargetMode="External"/><Relationship Id="rId91" Type="http://schemas.openxmlformats.org/officeDocument/2006/relationships/hyperlink" Target="https://www.sec.gov/Archives/edgar/data/2001557/000162828025017614/exhibit191to2024innventu.htm" TargetMode="External"/><Relationship Id="rId92" Type="http://schemas.openxmlformats.org/officeDocument/2006/relationships/hyperlink" Target="https://www.sec.gov/Archives/edgar/data/2001557/000162828025017614/exhibit191to2024innventu.htm" TargetMode="External"/><Relationship Id="rId93" Type="http://schemas.openxmlformats.org/officeDocument/2006/relationships/hyperlink" Target="https://www.sec.gov/Archives/edgar/data/2001557/000162828025017614/exhibit191to2024innventu.htm" TargetMode="External"/><Relationship Id="rId94" Type="http://schemas.openxmlformats.org/officeDocument/2006/relationships/hyperlink" Target="https://www.sec.gov/Archives/edgar/data/2001557/000162828025017614/exhibit211to2024listofsubs.htm" TargetMode="External"/><Relationship Id="rId95" Type="http://schemas.openxmlformats.org/officeDocument/2006/relationships/hyperlink" Target="https://www.sec.gov/Archives/edgar/data/2001557/000162828025017614/exhibit211to2024listofsubs.htm" TargetMode="External"/><Relationship Id="rId96" Type="http://schemas.openxmlformats.org/officeDocument/2006/relationships/hyperlink" Target="https://www.sec.gov/Archives/edgar/data/2001557/000162828025017614/exhibit211to2024listofsubs.htm" TargetMode="External"/><Relationship Id="rId97" Type="http://schemas.openxmlformats.org/officeDocument/2006/relationships/hyperlink" Target="https://www.sec.gov/Archives/edgar/data/2001557/000162828025017614/exhibit971to2024innventu.htm" TargetMode="External"/><Relationship Id="rId98" Type="http://schemas.openxmlformats.org/officeDocument/2006/relationships/hyperlink" Target="https://www.sec.gov/Archives/edgar/data/2001557/000162828025017614/exhibit971to2024innventu.htm" TargetMode="External"/><Relationship Id="rId99" Type="http://schemas.openxmlformats.org/officeDocument/2006/relationships/hyperlink" Target="https://www.sec.gov/Archives/edgar/data/2001557/000162828025017614/exhibit971to2024innventu.htm" TargetMode="External"/><Relationship Id="rId100" Type="http://schemas.openxmlformats.org/officeDocument/2006/relationships/fontTable" Target="fontTable.xml"/><Relationship Id="rId10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52</Pages>
  <Words>87246</Words>
  <Characters>487052</Characters>
  <CharactersWithSpaces>571743</CharactersWithSpaces>
  <Paragraphs>5636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