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1151890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1177290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620" w:hanging="594"/>
        <w:spacing w:after="0"/>
        <w:tabs>
          <w:tab w:leader="none" w:pos="6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9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620" w:hanging="594"/>
        <w:spacing w:after="0"/>
        <w:tabs>
          <w:tab w:leader="none" w:pos="6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to</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001-42303</w:t>
      </w:r>
    </w:p>
    <w:p>
      <w:pPr>
        <w:spacing w:after="0" w:line="17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3" w:lineRule="exact"/>
        <w:rPr>
          <w:sz w:val="24"/>
          <w:szCs w:val="24"/>
          <w:color w:val="auto"/>
        </w:rPr>
      </w:pPr>
    </w:p>
    <w:tbl>
      <w:tblPr>
        <w:tblLayout w:type="fixed"/>
        <w:tblInd w:w="1300" w:type="dxa"/>
        <w:tblCellMar>
          <w:top w:w="0" w:type="dxa"/>
          <w:left w:w="0" w:type="dxa"/>
          <w:bottom w:w="0" w:type="dxa"/>
          <w:right w:w="0" w:type="dxa"/>
        </w:tblCellMar>
      </w:tblPr>
      <w:tr>
        <w:trPr>
          <w:trHeight w:val="238"/>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93-4440048</w:t>
            </w:r>
          </w:p>
        </w:tc>
      </w:tr>
      <w:tr>
        <w:trPr>
          <w:trHeight w:val="252"/>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00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8"/>
              </w:rPr>
              <w:t>or organization</w:t>
            </w:r>
          </w:p>
        </w:tc>
        <w:tc>
          <w:tcPr>
            <w:tcW w:w="4000" w:type="dxa"/>
            <w:vAlign w:val="bottom"/>
          </w:tcPr>
          <w:p>
            <w:pPr>
              <w:spacing w:after="0"/>
              <w:rPr>
                <w:sz w:val="20"/>
                <w:szCs w:val="20"/>
                <w:color w:val="auto"/>
              </w:rPr>
            </w:pPr>
          </w:p>
        </w:tc>
      </w:tr>
      <w:tr>
        <w:trPr>
          <w:trHeight w:val="302"/>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6900 Tavistock Lakes Blvd, Suite 400</w:t>
            </w:r>
          </w:p>
        </w:tc>
        <w:tc>
          <w:tcPr>
            <w:tcW w:w="4000" w:type="dxa"/>
            <w:vAlign w:val="bottom"/>
          </w:tcPr>
          <w:p>
            <w:pPr>
              <w:spacing w:after="0"/>
              <w:rPr>
                <w:sz w:val="24"/>
                <w:szCs w:val="24"/>
                <w:color w:val="auto"/>
              </w:rPr>
            </w:pPr>
          </w:p>
        </w:tc>
      </w:tr>
      <w:tr>
        <w:trPr>
          <w:trHeight w:val="265"/>
        </w:trPr>
        <w:tc>
          <w:tcPr>
            <w:tcW w:w="444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rPr>
              <w:t>Orlando, Florida</w:t>
            </w:r>
          </w:p>
        </w:tc>
        <w:tc>
          <w:tcPr>
            <w:tcW w:w="40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32827</w:t>
            </w:r>
          </w:p>
        </w:tc>
      </w:tr>
      <w:tr>
        <w:trPr>
          <w:trHeight w:val="243"/>
        </w:trPr>
        <w:tc>
          <w:tcPr>
            <w:tcW w:w="444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0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INV</w:t>
            </w:r>
          </w:p>
        </w:tc>
        <w:tc>
          <w:tcPr>
            <w:tcW w:w="4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
        </w:trPr>
        <w:tc>
          <w:tcPr>
            <w:tcW w:w="4500" w:type="dxa"/>
            <w:vAlign w:val="bottom"/>
            <w:tcBorders>
              <w:left w:val="single" w:sz="8" w:color="auto"/>
              <w:right w:val="single" w:sz="8" w:color="auto"/>
            </w:tcBorders>
          </w:tcPr>
          <w:p>
            <w:pPr>
              <w:spacing w:after="0"/>
              <w:rPr>
                <w:sz w:val="2"/>
                <w:szCs w:val="2"/>
                <w:color w:val="auto"/>
              </w:rPr>
            </w:pPr>
          </w:p>
        </w:tc>
        <w:tc>
          <w:tcPr>
            <w:tcW w:w="2260" w:type="dxa"/>
            <w:vAlign w:val="bottom"/>
            <w:tcBorders>
              <w:right w:val="single" w:sz="8" w:color="auto"/>
            </w:tcBorders>
          </w:tcPr>
          <w:p>
            <w:pPr>
              <w:spacing w:after="0"/>
              <w:rPr>
                <w:sz w:val="2"/>
                <w:szCs w:val="2"/>
                <w:color w:val="auto"/>
              </w:rPr>
            </w:pPr>
          </w:p>
        </w:tc>
        <w:tc>
          <w:tcPr>
            <w:tcW w:w="4500" w:type="dxa"/>
            <w:vAlign w:val="bottom"/>
            <w:tcBorders>
              <w:right w:val="single" w:sz="8" w:color="auto"/>
            </w:tcBorders>
          </w:tcPr>
          <w:p>
            <w:pPr>
              <w:spacing w:after="0"/>
              <w:rPr>
                <w:sz w:val="2"/>
                <w:szCs w:val="2"/>
                <w:color w:val="auto"/>
              </w:rPr>
            </w:pPr>
          </w:p>
        </w:tc>
      </w:tr>
    </w:tbl>
    <w:p>
      <w:pPr>
        <w:spacing w:after="0" w:line="2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71" w:lineRule="exact"/>
        <w:rPr>
          <w:sz w:val="24"/>
          <w:szCs w:val="24"/>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ectPr>
          <w:pgSz w:w="11900" w:h="16838" w:orient="portrait"/>
          <w:cols w:equalWidth="0" w:num="1">
            <w:col w:w="11260"/>
          </w:cols>
          <w:pgMar w:left="320" w:top="1440"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spacing w:after="0" w:line="194"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16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company,”and “emerging growth company” in Rule 12b-2 of the Exchange Act.</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800"/>
              <w:spacing w:after="0"/>
              <w:rPr>
                <w:sz w:val="20"/>
                <w:szCs w:val="20"/>
                <w:color w:val="auto"/>
              </w:rPr>
            </w:pPr>
            <w:r>
              <w:rPr>
                <w:rFonts w:ascii="Wingdings" w:cs="Wingdings" w:eastAsia="Wingdings" w:hAnsi="Wingdings"/>
                <w:sz w:val="18"/>
                <w:szCs w:val="18"/>
                <w:b w:val="1"/>
                <w:bCs w:val="1"/>
                <w:color w:val="auto"/>
              </w:rPr>
              <w:t>o</w:t>
            </w:r>
          </w:p>
        </w:tc>
        <w:tc>
          <w:tcPr>
            <w:tcW w:w="4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640"/>
              <w:spacing w:after="0"/>
              <w:rPr>
                <w:sz w:val="20"/>
                <w:szCs w:val="20"/>
                <w:color w:val="auto"/>
              </w:rPr>
            </w:pPr>
            <w:r>
              <w:rPr>
                <w:rFonts w:ascii="Wingdings" w:cs="Wingdings" w:eastAsia="Wingdings" w:hAnsi="Wingdings"/>
                <w:sz w:val="18"/>
                <w:szCs w:val="18"/>
                <w:b w:val="1"/>
                <w:bCs w:val="1"/>
                <w:color w:val="auto"/>
              </w:rPr>
              <w:t>o</w:t>
            </w:r>
          </w:p>
        </w:tc>
      </w:tr>
      <w:tr>
        <w:trPr>
          <w:trHeight w:val="32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800"/>
              <w:spacing w:after="0"/>
              <w:rPr>
                <w:sz w:val="20"/>
                <w:szCs w:val="20"/>
                <w:color w:val="auto"/>
              </w:rPr>
            </w:pPr>
            <w:r>
              <w:rPr>
                <w:rFonts w:ascii="Wingdings" w:cs="Wingdings" w:eastAsia="Wingdings" w:hAnsi="Wingdings"/>
                <w:sz w:val="18"/>
                <w:szCs w:val="18"/>
                <w:b w:val="1"/>
                <w:bCs w:val="1"/>
                <w:color w:val="auto"/>
              </w:rPr>
              <w:t>x</w:t>
            </w:r>
          </w:p>
        </w:tc>
        <w:tc>
          <w:tcPr>
            <w:tcW w:w="4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40"/>
              <w:spacing w:after="0"/>
              <w:rPr>
                <w:sz w:val="20"/>
                <w:szCs w:val="20"/>
                <w:color w:val="auto"/>
              </w:rPr>
            </w:pPr>
            <w:r>
              <w:rPr>
                <w:rFonts w:ascii="Wingdings" w:cs="Wingdings" w:eastAsia="Wingdings" w:hAnsi="Wingdings"/>
                <w:sz w:val="18"/>
                <w:szCs w:val="18"/>
                <w:b w:val="1"/>
                <w:bCs w:val="1"/>
                <w:color w:val="auto"/>
                <w:w w:val="94"/>
              </w:rPr>
              <w:t>x</w:t>
            </w:r>
          </w:p>
        </w:tc>
      </w:tr>
      <w:tr>
        <w:trPr>
          <w:trHeight w:val="486"/>
        </w:trPr>
        <w:tc>
          <w:tcPr>
            <w:tcW w:w="2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840" w:type="dxa"/>
            <w:vAlign w:val="bottom"/>
          </w:tcPr>
          <w:p>
            <w:pPr>
              <w:ind w:left="64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200" w:lineRule="exact"/>
        <w:rPr>
          <w:sz w:val="20"/>
          <w:szCs w:val="20"/>
          <w:color w:val="auto"/>
        </w:rPr>
      </w:pP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238" w:lineRule="auto"/>
        <w:rPr>
          <w:sz w:val="20"/>
          <w:szCs w:val="20"/>
          <w:color w:val="auto"/>
        </w:rPr>
      </w:pPr>
      <w:r>
        <w:rPr>
          <w:rFonts w:ascii="Wingdings" w:cs="Wingdings" w:eastAsia="Wingdings" w:hAnsi="Wingdings"/>
          <w:sz w:val="18"/>
          <w:szCs w:val="18"/>
          <w:b w:val="1"/>
          <w:bCs w:val="1"/>
          <w:color w:val="auto"/>
        </w:rPr>
        <w: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25, 2025, the registrant had 53,487,294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6515735</wp:posOffset>
            </wp:positionH>
            <wp:positionV relativeFrom="paragraph">
              <wp:posOffset>41910</wp:posOffset>
            </wp:positionV>
            <wp:extent cx="60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6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color w:val="auto"/>
        </w:rPr>
        <w:t>Financial Statements (Unaudited)</w:t>
      </w:r>
    </w:p>
    <w:p>
      <w:pPr>
        <w:spacing w:after="0" w:line="6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color w:val="auto"/>
        </w:rPr>
        <w:t>Management’s Discussion and Analysis of Financial Condition and Results of Operations</w:t>
      </w:r>
    </w:p>
    <w:p>
      <w:pPr>
        <w:spacing w:after="0" w:line="6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Quantitative and Qualitative Disclosures About Market Risk</w:t>
      </w:r>
    </w:p>
    <w:p>
      <w:pPr>
        <w:spacing w:after="0" w:line="6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Controls and Procedures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ectPr>
          <w:pgSz w:w="11900" w:h="16838" w:orient="portrait"/>
          <w:cols w:equalWidth="0" w:num="1">
            <w:col w:w="11020"/>
          </w:cols>
          <w:pgMar w:left="340" w:top="1440" w:right="539" w:bottom="1440" w:gutter="0" w:footer="0" w:header="0"/>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Proceedings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Defaults upon Senior Securities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Mine Safety Disclosures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ectPr>
          <w:pgSz w:w="11900" w:h="16838" w:orient="portrait"/>
          <w:cols w:equalWidth="0" w:num="2">
            <w:col w:w="640" w:space="680"/>
            <w:col w:w="9700"/>
          </w:cols>
          <w:pgMar w:left="340" w:top="1440" w:right="5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ectPr>
          <w:pgSz w:w="11900" w:h="16838" w:orient="portrait"/>
          <w:cols w:equalWidth="0" w:num="1">
            <w:col w:w="11020"/>
          </w:cols>
          <w:pgMar w:left="340" w:top="1440"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440" w:right="539" w:bottom="1440" w:gutter="0" w:footer="0" w:header="0"/>
          <w:type w:val="continuous"/>
        </w:sectPr>
      </w:pPr>
    </w:p>
    <w:bookmarkStart w:id="3" w:name="page4"/>
    <w:bookmarkEnd w:id="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on Form 10-Q (“Form 10-Q”) to “Innventure,” the “Company,” “we,” “our” or “us” refer to Innventure, Inc. and its consolidated subsidiaries.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meaning of Section 27A of the Securities Act of 1933, as amended (the “Securities Act”), and Section 21E of the Securities Exchange Act of 1934, as amended (the “Exchange Act”), including statements about the Company’s business model, the financial condition, results of operations, earnings outlook and the prospects for AeroFlexx, LLC (“AeroFlexx” or “AFX”), Accelsius Holdings LLC (“Accelsius” or “ACC”) and Refinity Olefins, LLC (“Refinity” and, together with AeroFlexx and Accelsius, the “Innventure Companies” and, together with those subsidiary companies that Innventure may found, fund, and operate going forward, the “Operating Companies”).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Company’s management and are inherently subject to uncertainties and changes in circumstances and their potential effects and speak only as of the date of this Form 10-Q.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the section of the Company’s Annual Report on Form 10-K for the fiscal year ended December 31, 2024 (the “2024 Annual Report”) entitled “Risk Factors,” those discussed and identified in other public filings made with the Securities and Exchange Commission (the “SEC”) by the Company and the following:</w:t>
      </w:r>
    </w:p>
    <w:p>
      <w:pPr>
        <w:spacing w:after="0" w:line="135" w:lineRule="exact"/>
        <w:rPr>
          <w:sz w:val="20"/>
          <w:szCs w:val="20"/>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Innventure’s and the Innventure Companies’ (as defined below) strategies and ability to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Innventure’s ability to invest in growth initiatives;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Innventure’s and the Innventure Companies’ business models and growth strategies;</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unfavorable economic or other conditions which could cause the need for Innventure to evaluate and potentially record additional impairment charges for all, or a portion of, its goodwill and other intangible assets;</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future capital requirements and sources and uses of cash, including its ability to obtain funding for its operations and future growth and to continue as a going concern;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imposed by, and to satisfy its obligations to, the WTI Lenders (as defined below), under the WTI Facility (as defined below);</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and satisfy the various limitations under the Standby Equity Purchase Agreement (the “SEPA”) and securities purchase agreement (the “Securities Purchase Agreement”), each with YA II PN, Ltd. (“Yorkville”), including exchange caps, issuances and subscriptions based on trading volumes, to continue to access the funds available under the SEPA or the Securities Purchase Agreement and related Convertible Debentures (as defined below) due to certain conditions, restrictions and limitations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94" w:lineRule="exact"/>
        <w:rPr>
          <w:sz w:val="20"/>
          <w:szCs w:val="20"/>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and limitations set forth in Innventure’s debt instruments, which may impair Innventure’s financial and operating flexibility;</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generate liquidity and maintain sufficient capital to operate as anticipated;</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technology solutions that Innventure and the Innventure Companies license or acquire from third parties or develop internally may not function as anticipated or provide the benefits anticipated;</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Innventure’s and the Innventure Companies’ competitors and industry;</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scale the operations of their respective businesses;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establish substantial commercial sales of their products;</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compete against companies with greater capital and other resources or superior technology or products;</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and the Innventure Companies’ ability to meet, and to continue to meet, applicable regulatory requirements for the use of their products and the numerous regulatory requirements generally applicable to their respective businesses;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against Innventure or the Innventure Companies;</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find future opportunities to license or acquire breakthrough technology solutions from multinational corporations (“MNCs”) or other third parties (collectively, “Technology Solutions Providers”) and to satisfy the requirements imposed by or to avoid disagreements with its current and future Technology Solutions Providers;</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launch of new companies distracts Innventure’s management from its subsidiaries and their respective operations;</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Innventure may be deemed an investment company under the Investment Company Act of 1940 (the “Investment Company Act”), which would impose burdensome compliance requirements and restrictions on its activities;</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sufficiently protect the intellectual property (“IP”) rights of itself and its Operating Companies, and to avoid or resolve in a timely and cost-effective manner any disputes that may arise relating to its use of the IP of third parties;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cyber-attack or a failure of Innventure’s information technology and data security infrastructure;</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or regulations, including with respect to foreign trade policy and tariffs;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of other economic, business, and/or competitive factors;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related to Innventure and the Innventure Companies, which have limited or no operating history; and</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liquidity and trading of Innventure’s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5" w:name="page6"/>
    <w:bookmarkEnd w:id="5"/>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All forward-looking statements in this Form 10-Q are made as of the date hereof, based on information available to Innventure as of the date hereof, and Innventure assumes no obligation to update any forward-looking statement, whether as a result of new information, future events or otherwise, except as may be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94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March 31, 2025 (Unaudited)</w:t>
            </w:r>
          </w:p>
        </w:tc>
        <w:tc>
          <w:tcPr>
            <w:tcW w:w="180" w:type="dxa"/>
            <w:vAlign w:val="bottom"/>
          </w:tcPr>
          <w:p>
            <w:pPr>
              <w:spacing w:after="0"/>
              <w:rPr>
                <w:sz w:val="14"/>
                <w:szCs w:val="14"/>
                <w:color w:val="auto"/>
              </w:rPr>
            </w:pPr>
          </w:p>
        </w:tc>
        <w:tc>
          <w:tcPr>
            <w:tcW w:w="138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29"/>
        </w:trPr>
        <w:tc>
          <w:tcPr>
            <w:tcW w:w="79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11,119</w:t>
            </w:r>
          </w:p>
        </w:tc>
      </w:tr>
      <w:tr>
        <w:trPr>
          <w:trHeight w:val="29"/>
        </w:trPr>
        <w:tc>
          <w:tcPr>
            <w:tcW w:w="7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6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Due from related parties</w:t>
            </w: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4,536</w:t>
            </w:r>
          </w:p>
        </w:tc>
      </w:tr>
      <w:tr>
        <w:trPr>
          <w:trHeight w:val="29"/>
        </w:trPr>
        <w:tc>
          <w:tcPr>
            <w:tcW w:w="7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Inventories</w:t>
            </w:r>
          </w:p>
        </w:tc>
        <w:tc>
          <w:tcPr>
            <w:tcW w:w="6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5,178</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3,170</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10,285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24,286</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Investments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33,684</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28,734</w:t>
            </w:r>
          </w:p>
        </w:tc>
      </w:tr>
      <w:tr>
        <w:trPr>
          <w:trHeight w:val="29"/>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2,186</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Intangible assets, net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176,750</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182,153</w:t>
            </w:r>
          </w:p>
        </w:tc>
      </w:tr>
      <w:tr>
        <w:trPr>
          <w:trHeight w:val="29"/>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Goodwill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436,807</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667,936</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assets</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580" w:type="dxa"/>
            <w:vAlign w:val="bottom"/>
            <w:tcBorders>
              <w:top w:val="single" w:sz="8" w:color="auto"/>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660,419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905,289</w:t>
            </w:r>
          </w:p>
        </w:tc>
      </w:tr>
      <w:tr>
        <w:trPr>
          <w:trHeight w:val="173"/>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Deficit</w:t>
            </w: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9"/>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58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5,061</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3,248</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employee benefits</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9,273</w:t>
            </w:r>
          </w:p>
        </w:tc>
      </w:tr>
      <w:tr>
        <w:trPr>
          <w:trHeight w:val="29"/>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expenses</w:t>
            </w: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3,102</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2,478</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Related party notes payable - current</w:t>
            </w:r>
          </w:p>
        </w:tc>
        <w:tc>
          <w:tcPr>
            <w:tcW w:w="5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14,000</w:t>
            </w:r>
          </w:p>
        </w:tc>
      </w:tr>
      <w:tr>
        <w:trPr>
          <w:trHeight w:val="29"/>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Notes payable - current</w:t>
            </w: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2,141</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Patent installment payable - current</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w:t>
            </w:r>
          </w:p>
        </w:tc>
      </w:tr>
      <w:tr>
        <w:trPr>
          <w:trHeight w:val="29"/>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Obligation to issue equity</w:t>
            </w: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4,158</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Warrant liability</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24,003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34,023</w:t>
            </w:r>
          </w:p>
        </w:tc>
      </w:tr>
      <w:tr>
        <w:trPr>
          <w:trHeight w:val="29"/>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3"/>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taxes payable</w:t>
            </w: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47,324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69,347</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Notes payable, net of current portion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12,346</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13,654</w:t>
            </w: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Earnout liability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7,470</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14,752</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liability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Patent installment payable, net of current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12,375</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12,375</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income taxes</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25,454</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27,353</w:t>
            </w: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liabilities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w:t>
            </w:r>
          </w:p>
        </w:tc>
      </w:tr>
      <w:tr>
        <w:trPr>
          <w:trHeight w:val="20"/>
        </w:trPr>
        <w:tc>
          <w:tcPr>
            <w:tcW w:w="79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105,947</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138,996</w:t>
            </w: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 (Note 16)</w:t>
            </w:r>
          </w:p>
        </w:tc>
        <w:tc>
          <w:tcPr>
            <w:tcW w:w="1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73"/>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Mezzanine Equity</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57"/>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Preferred Stock, $0.0001 par value, 25,000,000 shares authorized, 2,885,848 and — shares issued and outstanding as of March 31, 2025 and</w:t>
            </w: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74"/>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December 31, 2024, respectively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28,727</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57"/>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Preferred Stock, $0.0001 par value, 25,000,000 shares authorized, 1,118,808 and 1,102,000 shares issued and outstanding as of March 31, 2025 and</w:t>
            </w: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74"/>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December 31, 2024, respectively</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8"/>
              </w:rPr>
              <w:t>Common Stock, $0.0001 par value, 250,000,000 shares authorized, 47,103,800 and 44,597,154 shares issued and outstanding as of March 31, 2025 and</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4"/>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December 31, 2024, respectively</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484,256</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502,865</w:t>
            </w:r>
          </w:p>
        </w:tc>
      </w:tr>
      <w:tr>
        <w:trPr>
          <w:trHeight w:val="173"/>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(loss) gain</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(1,478)</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w:t>
            </w:r>
          </w:p>
        </w:tc>
      </w:tr>
      <w:tr>
        <w:trPr>
          <w:trHeight w:val="30"/>
        </w:trPr>
        <w:tc>
          <w:tcPr>
            <w:tcW w:w="7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Accumulated deficit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(221,285)</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(78,262)</w:t>
            </w:r>
          </w:p>
        </w:tc>
      </w:tr>
      <w:tr>
        <w:trPr>
          <w:trHeight w:val="20"/>
        </w:trPr>
        <w:tc>
          <w:tcPr>
            <w:tcW w:w="79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Innventure, Inc., Stockholders’ Equity</w:t>
            </w: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261,498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425,516</w:t>
            </w:r>
          </w:p>
        </w:tc>
      </w:tr>
      <w:tr>
        <w:trPr>
          <w:trHeight w:val="30"/>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Non-controlling interest</w:t>
            </w:r>
          </w:p>
        </w:tc>
        <w:tc>
          <w:tcPr>
            <w:tcW w:w="5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264,247</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340,777</w:t>
            </w:r>
          </w:p>
        </w:tc>
      </w:tr>
      <w:tr>
        <w:trPr>
          <w:trHeight w:val="166"/>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525,745</w:t>
            </w: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766,293</w:t>
            </w:r>
          </w:p>
        </w:tc>
      </w:tr>
      <w:tr>
        <w:trPr>
          <w:trHeight w:val="30"/>
        </w:trPr>
        <w:tc>
          <w:tcPr>
            <w:tcW w:w="79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Mezzanine and Stockholders' Equity</w:t>
            </w:r>
          </w:p>
        </w:tc>
        <w:tc>
          <w:tcPr>
            <w:tcW w:w="58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660,419</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905,289</w:t>
            </w:r>
          </w:p>
        </w:tc>
      </w:tr>
      <w:tr>
        <w:trPr>
          <w:trHeight w:val="20"/>
        </w:trPr>
        <w:tc>
          <w:tcPr>
            <w:tcW w:w="7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78"/>
        </w:trPr>
        <w:tc>
          <w:tcPr>
            <w:tcW w:w="7440" w:type="dxa"/>
            <w:vAlign w:val="bottom"/>
          </w:tcPr>
          <w:p>
            <w:pPr>
              <w:spacing w:after="0"/>
              <w:rPr>
                <w:sz w:val="15"/>
                <w:szCs w:val="15"/>
                <w:color w:val="auto"/>
              </w:rPr>
            </w:pPr>
          </w:p>
        </w:tc>
        <w:tc>
          <w:tcPr>
            <w:tcW w:w="192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80" w:type="dxa"/>
            <w:vAlign w:val="bottom"/>
          </w:tcPr>
          <w:p>
            <w:pPr>
              <w:spacing w:after="0"/>
              <w:rPr>
                <w:sz w:val="15"/>
                <w:szCs w:val="15"/>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r>
      <w:tr>
        <w:trPr>
          <w:trHeight w:val="190"/>
        </w:trPr>
        <w:tc>
          <w:tcPr>
            <w:tcW w:w="7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31, 2024</w:t>
            </w:r>
          </w:p>
        </w:tc>
      </w:tr>
      <w:tr>
        <w:trPr>
          <w:trHeight w:val="37"/>
        </w:trPr>
        <w:tc>
          <w:tcPr>
            <w:tcW w:w="7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0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w:t>
            </w:r>
          </w:p>
        </w:tc>
      </w:tr>
      <w:tr>
        <w:trPr>
          <w:trHeight w:val="270"/>
        </w:trPr>
        <w:tc>
          <w:tcPr>
            <w:tcW w:w="7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0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Cost of sales</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19,676</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7,904</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Sales and marketing</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6,253</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Goodwill impairment</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233,213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0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3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261,422</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10,756</w:t>
            </w:r>
          </w:p>
        </w:tc>
      </w:tr>
      <w:tr>
        <w:trPr>
          <w:trHeight w:val="270"/>
        </w:trPr>
        <w:tc>
          <w:tcPr>
            <w:tcW w:w="7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1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(261,198)</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(10,532)</w:t>
            </w:r>
          </w:p>
        </w:tc>
      </w:tr>
      <w:tr>
        <w:trPr>
          <w:trHeight w:val="270"/>
        </w:trPr>
        <w:tc>
          <w:tcPr>
            <w:tcW w:w="7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0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Non-operating (Expense) and Income</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expense, net</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gain on investments</w:t>
            </w:r>
          </w:p>
        </w:tc>
        <w:tc>
          <w:tcPr>
            <w:tcW w:w="3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5,189</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 on investments - due to related parties</w:t>
            </w:r>
          </w:p>
        </w:tc>
        <w:tc>
          <w:tcPr>
            <w:tcW w:w="340" w:type="dxa"/>
            <w:vAlign w:val="bottom"/>
          </w:tcPr>
          <w:p>
            <w:pPr>
              <w:spacing w:after="0"/>
              <w:rPr>
                <w:sz w:val="16"/>
                <w:szCs w:val="16"/>
                <w:color w:val="auto"/>
              </w:rPr>
            </w:pPr>
          </w:p>
        </w:tc>
        <w:tc>
          <w:tcPr>
            <w:tcW w:w="15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16,429</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Equity method investment (loss) gain</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Realized gain on conversion of available for sale investment</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extinguishment of related party debt</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on conversion of promissory notes</w:t>
            </w:r>
          </w:p>
        </w:tc>
        <w:tc>
          <w:tcPr>
            <w:tcW w:w="3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Miscellaneous other income</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0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Non-operating Income</w:t>
            </w:r>
          </w:p>
        </w:tc>
        <w:tc>
          <w:tcPr>
            <w:tcW w:w="3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6,125</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3,006</w:t>
            </w:r>
          </w:p>
        </w:tc>
      </w:tr>
      <w:tr>
        <w:trPr>
          <w:trHeight w:val="216"/>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(255,073)</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(7,526)</w:t>
            </w:r>
          </w:p>
        </w:tc>
      </w:tr>
      <w:tr>
        <w:trPr>
          <w:trHeight w:val="216"/>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 benefit</w:t>
            </w:r>
          </w:p>
        </w:tc>
        <w:tc>
          <w:tcPr>
            <w:tcW w:w="3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(253,674)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(7,526)</w:t>
            </w: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Less: net loss attributable to</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193"/>
        </w:trPr>
        <w:tc>
          <w:tcPr>
            <w:tcW w:w="74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Non-redeemable non-controlling interest</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(110,677)</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w:t>
            </w:r>
          </w:p>
        </w:tc>
      </w:tr>
      <w:tr>
        <w:trPr>
          <w:trHeight w:val="37"/>
        </w:trPr>
        <w:tc>
          <w:tcPr>
            <w:tcW w:w="7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2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Innventure, Inc. Stockholders / Innventure LLC Unitholders</w:t>
            </w:r>
          </w:p>
        </w:tc>
        <w:tc>
          <w:tcPr>
            <w:tcW w:w="3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(142,997)</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(5,219)</w:t>
            </w:r>
          </w:p>
        </w:tc>
      </w:tr>
      <w:tr>
        <w:trPr>
          <w:trHeight w:val="250"/>
        </w:trPr>
        <w:tc>
          <w:tcPr>
            <w:tcW w:w="74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r>
      <w:tr>
        <w:trPr>
          <w:trHeight w:val="21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 and diluted loss per share</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193"/>
        </w:trPr>
        <w:tc>
          <w:tcPr>
            <w:tcW w:w="7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 and diluted weighted average common shares</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46,252,922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70"/>
        </w:trPr>
        <w:tc>
          <w:tcPr>
            <w:tcW w:w="74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196"/>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loss, net of taxes:</w:t>
            </w: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6"/>
        </w:trPr>
        <w:tc>
          <w:tcPr>
            <w:tcW w:w="7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Unrealized loss on available for sale debt securities - related party</w:t>
            </w:r>
          </w:p>
        </w:tc>
        <w:tc>
          <w:tcPr>
            <w:tcW w:w="3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Reclassification of realized gain on conversion of available for sale investments</w:t>
            </w: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9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comprehensive loss, net of taxes</w:t>
            </w: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(2,387)</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0"/>
        </w:trPr>
        <w:tc>
          <w:tcPr>
            <w:tcW w:w="74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20" w:type="dxa"/>
            <w:vAlign w:val="bottom"/>
            <w:tcBorders>
              <w:bottom w:val="single" w:sz="8" w:color="CCEEFF"/>
              <w:right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r>
      <w:tr>
        <w:trPr>
          <w:trHeight w:val="19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loss, net of taxes</w:t>
            </w: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(256,061)</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(7,526)</w:t>
            </w:r>
          </w:p>
        </w:tc>
      </w:tr>
      <w:tr>
        <w:trPr>
          <w:trHeight w:val="193"/>
        </w:trPr>
        <w:tc>
          <w:tcPr>
            <w:tcW w:w="7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Less: comprehensive loss attributable to</w:t>
            </w: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
        </w:trPr>
        <w:tc>
          <w:tcPr>
            <w:tcW w:w="7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9"/>
        </w:trPr>
        <w:tc>
          <w:tcPr>
            <w:tcW w:w="74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Non-redeemable non-controlling interest</w:t>
            </w:r>
          </w:p>
        </w:tc>
        <w:tc>
          <w:tcPr>
            <w:tcW w:w="3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(110,677)</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w:t>
            </w:r>
          </w:p>
        </w:tc>
      </w:tr>
      <w:tr>
        <w:trPr>
          <w:trHeight w:val="19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Comprehensive Loss Attributable to Innventure, Inc. Stockholders / Innventure LLC Unitholders</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(145,384)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(5,219)</w:t>
            </w: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Unitholders' Deficit (Predecessor)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6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296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Class B-1</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Controlling</w:t>
            </w:r>
          </w:p>
        </w:tc>
        <w:tc>
          <w:tcPr>
            <w:tcW w:w="16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(Deficit)</w:t>
            </w:r>
          </w:p>
        </w:tc>
      </w:tr>
      <w:tr>
        <w:trPr>
          <w:trHeight w:val="238"/>
        </w:trPr>
        <w:tc>
          <w:tcPr>
            <w:tcW w:w="2960" w:type="dxa"/>
            <w:vAlign w:val="bottom"/>
          </w:tcPr>
          <w:p>
            <w:pPr>
              <w:spacing w:after="0"/>
              <w:rPr>
                <w:sz w:val="20"/>
                <w:szCs w:val="20"/>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2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C</w:t>
            </w:r>
          </w:p>
        </w:tc>
        <w:tc>
          <w:tcPr>
            <w:tcW w:w="20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Pr>
          <w:p>
            <w:pPr>
              <w:spacing w:after="0"/>
              <w:rPr>
                <w:sz w:val="20"/>
                <w:szCs w:val="20"/>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OCI</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60" w:type="dxa"/>
            <w:vAlign w:val="bottom"/>
          </w:tcPr>
          <w:p>
            <w:pPr>
              <w:spacing w:after="0"/>
              <w:rPr>
                <w:sz w:val="20"/>
                <w:szCs w:val="20"/>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7"/>
        </w:trPr>
        <w:tc>
          <w:tcPr>
            <w:tcW w:w="29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38,122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(64,284)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(18,486)</w:t>
            </w:r>
          </w:p>
        </w:tc>
      </w:tr>
      <w:tr>
        <w:trPr>
          <w:trHeight w:val="243"/>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w:t>
            </w:r>
          </w:p>
        </w:tc>
      </w:tr>
      <w:tr>
        <w:trPr>
          <w:trHeight w:val="27"/>
        </w:trPr>
        <w:tc>
          <w:tcPr>
            <w:tcW w:w="2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Units issued to non-controlling</w:t>
            </w: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2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r>
      <w:tr>
        <w:trPr>
          <w:trHeight w:val="225"/>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preferred units, net of</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costs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r>
      <w:tr>
        <w:trPr>
          <w:trHeight w:val="27"/>
        </w:trPr>
        <w:tc>
          <w:tcPr>
            <w:tcW w:w="2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Unit-based compensation</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5"/>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units to non-controlling</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 exchange of convertible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promissory notes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r>
      <w:tr>
        <w:trPr>
          <w:trHeight w:val="27"/>
        </w:trPr>
        <w:tc>
          <w:tcPr>
            <w:tcW w:w="2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of redeemable units to</w:t>
            </w: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1"/>
        </w:trPr>
        <w:tc>
          <w:tcPr>
            <w:tcW w:w="2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 value</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r>
      <w:tr>
        <w:trPr>
          <w:trHeight w:val="237"/>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45,688</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8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1,950</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(73,918)</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11,543</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(10,519)</w:t>
            </w:r>
          </w:p>
        </w:tc>
      </w:tr>
      <w:tr>
        <w:trPr>
          <w:trHeight w:val="27"/>
        </w:trPr>
        <w:tc>
          <w:tcPr>
            <w:tcW w:w="2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Mezzanine and Stockholders' Equity (Deficit) (Successor)</w:t>
      </w:r>
    </w:p>
    <w:p>
      <w:pPr>
        <w:spacing w:after="0" w:line="90"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4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1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3"/>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840" w:type="dxa"/>
            <w:vAlign w:val="bottom"/>
            <w:tcBorders>
              <w:right w:val="single" w:sz="8" w:color="auto"/>
            </w:tcBorders>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0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OCI</w:t>
            </w:r>
          </w:p>
        </w:tc>
        <w:tc>
          <w:tcPr>
            <w:tcW w:w="120" w:type="dxa"/>
            <w:vAlign w:val="bottom"/>
          </w:tcPr>
          <w:p>
            <w:pPr>
              <w:spacing w:after="0"/>
              <w:rPr>
                <w:sz w:val="17"/>
                <w:szCs w:val="17"/>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7"/>
                <w:szCs w:val="17"/>
                <w:color w:val="auto"/>
              </w:rPr>
            </w:pPr>
          </w:p>
        </w:tc>
        <w:tc>
          <w:tcPr>
            <w:tcW w:w="8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7"/>
                <w:szCs w:val="17"/>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1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1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1,102,000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44,597,154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502,865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(78,262)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340,777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766,293</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(110,677)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(253,674)</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B</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buyback</w:t>
            </w: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Series B</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issued for paid-</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in-kind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21,808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shares,</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of issuance</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161,964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costs</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Vesting of</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earnout shares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2,344,682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comprehensive</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net of taxes</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Conversion of</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related party</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2,310,848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23,108</w:t>
            </w:r>
          </w:p>
        </w:tc>
        <w:tc>
          <w:tcPr>
            <w:tcW w:w="0" w:type="dxa"/>
            <w:vAlign w:val="bottom"/>
          </w:tcPr>
          <w:p>
            <w:pPr>
              <w:spacing w:after="0"/>
              <w:rPr>
                <w:sz w:val="1"/>
                <w:szCs w:val="1"/>
                <w:color w:val="auto"/>
              </w:rPr>
            </w:pPr>
          </w:p>
        </w:tc>
      </w:tr>
      <w:tr>
        <w:trPr>
          <w:trHeight w:val="188"/>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notes</w:t>
            </w: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C</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5,663</w:t>
            </w:r>
          </w:p>
        </w:tc>
        <w:tc>
          <w:tcPr>
            <w:tcW w:w="0" w:type="dxa"/>
            <w:vAlign w:val="bottom"/>
          </w:tcPr>
          <w:p>
            <w:pPr>
              <w:spacing w:after="0"/>
              <w:rPr>
                <w:sz w:val="1"/>
                <w:szCs w:val="1"/>
                <w:color w:val="auto"/>
              </w:rPr>
            </w:pPr>
          </w:p>
        </w:tc>
      </w:tr>
      <w:tr>
        <w:trPr>
          <w:trHeight w:val="192"/>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issued</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related</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(26,303)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33,249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6,946</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transfers</w:t>
            </w: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to</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Stockholders</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12"/>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800" w:type="dxa"/>
            <w:vAlign w:val="bottom"/>
            <w:tcBorders>
              <w:bottom w:val="single" w:sz="8" w:color="CCEEFF"/>
            </w:tcBorders>
            <w:gridSpan w:val="2"/>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vMerge w:val="continue"/>
            <w:shd w:val="clear" w:color="auto" w:fill="CCEEFF"/>
          </w:tcPr>
          <w:p>
            <w:pPr>
              <w:spacing w:after="0"/>
              <w:rPr>
                <w:sz w:val="18"/>
                <w:szCs w:val="18"/>
                <w:color w:val="auto"/>
              </w:rPr>
            </w:pPr>
          </w:p>
        </w:tc>
        <w:tc>
          <w:tcPr>
            <w:tcW w:w="840" w:type="dxa"/>
            <w:vAlign w:val="bottom"/>
            <w:tcBorders>
              <w:bottom w:val="single" w:sz="8" w:color="CCEEFF"/>
            </w:tcBorders>
            <w:gridSpan w:val="2"/>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1,118,808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47,103,800</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484,256</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(221,285)</w:t>
            </w: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(1,478)</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264,247</w:t>
            </w: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525,745</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2,885,848</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28,727</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20" w:top="117" w:right="1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Borders>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w w:val="95"/>
              </w:rPr>
              <w:t>Successor</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jc w:val="right"/>
              <w:ind w:right="566"/>
              <w:spacing w:after="0"/>
              <w:rPr>
                <w:sz w:val="20"/>
                <w:szCs w:val="20"/>
                <w:color w:val="auto"/>
              </w:rPr>
            </w:pPr>
            <w:r>
              <w:rPr>
                <w:rFonts w:ascii="Times New Roman" w:cs="Times New Roman" w:eastAsia="Times New Roman" w:hAnsi="Times New Roman"/>
                <w:sz w:val="11"/>
                <w:szCs w:val="11"/>
                <w:b w:val="1"/>
                <w:bCs w:val="1"/>
                <w:color w:val="auto"/>
              </w:rPr>
              <w:t>Predecessor</w:t>
            </w:r>
          </w:p>
        </w:tc>
      </w:tr>
      <w:tr>
        <w:trPr>
          <w:trHeight w:val="27"/>
        </w:trPr>
        <w:tc>
          <w:tcPr>
            <w:tcW w:w="744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147"/>
        </w:trPr>
        <w:tc>
          <w:tcPr>
            <w:tcW w:w="7440" w:type="dxa"/>
            <w:vAlign w:val="bottom"/>
          </w:tcPr>
          <w:p>
            <w:pPr>
              <w:spacing w:after="0"/>
              <w:rPr>
                <w:sz w:val="12"/>
                <w:szCs w:val="12"/>
                <w:color w:val="auto"/>
              </w:rPr>
            </w:pPr>
          </w:p>
        </w:tc>
        <w:tc>
          <w:tcPr>
            <w:tcW w:w="192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Three months ended March 31, 2025</w:t>
            </w:r>
          </w:p>
        </w:tc>
        <w:tc>
          <w:tcPr>
            <w:tcW w:w="80" w:type="dxa"/>
            <w:vAlign w:val="bottom"/>
          </w:tcPr>
          <w:p>
            <w:pPr>
              <w:spacing w:after="0"/>
              <w:rPr>
                <w:sz w:val="12"/>
                <w:szCs w:val="12"/>
                <w:color w:val="auto"/>
              </w:rPr>
            </w:pPr>
          </w:p>
        </w:tc>
        <w:tc>
          <w:tcPr>
            <w:tcW w:w="18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9"/>
              </w:rPr>
              <w:t>Three months ended March 31, 2024</w:t>
            </w:r>
          </w:p>
        </w:tc>
      </w:tr>
      <w:tr>
        <w:trPr>
          <w:trHeight w:val="36"/>
        </w:trPr>
        <w:tc>
          <w:tcPr>
            <w:tcW w:w="74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4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Used in Operating Activities</w:t>
            </w:r>
          </w:p>
        </w:tc>
        <w:tc>
          <w:tcPr>
            <w:tcW w:w="360" w:type="dxa"/>
            <w:vAlign w:val="bottom"/>
            <w:tcBorders>
              <w:bottom w:val="single" w:sz="8" w:color="CCEEFF"/>
            </w:tcBorders>
            <w:shd w:val="clear" w:color="auto" w:fill="CCEEFF"/>
          </w:tcPr>
          <w:p>
            <w:pPr>
              <w:spacing w:after="0"/>
              <w:rPr>
                <w:sz w:val="12"/>
                <w:szCs w:val="12"/>
                <w:color w:val="auto"/>
              </w:rPr>
            </w:pPr>
          </w:p>
        </w:tc>
        <w:tc>
          <w:tcPr>
            <w:tcW w:w="14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spacing w:after="0"/>
              <w:rPr>
                <w:sz w:val="12"/>
                <w:szCs w:val="12"/>
                <w:color w:val="auto"/>
              </w:rPr>
            </w:pP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Net loss</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(253,674)</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(7,526)</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i w:val="1"/>
                <w:iCs w:val="1"/>
                <w:color w:val="auto"/>
              </w:rPr>
              <w:t>Adjustments to reconcile net loss to net cash and cash equivalents used in operating activities:</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Stock-based compensation</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5,841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396</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Interest income on debt securities - related party</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Change in fair value of financial liabilities</w:t>
            </w:r>
          </w:p>
        </w:tc>
        <w:tc>
          <w:tcPr>
            <w:tcW w:w="3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(16,429)</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478</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Change in fair value of payables due to related parties</w:t>
            </w:r>
          </w:p>
        </w:tc>
        <w:tc>
          <w:tcPr>
            <w:tcW w:w="3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186</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Non-cash interest expense on notes payable</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510</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230</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Net (gain) loss on investments</w:t>
            </w:r>
          </w:p>
        </w:tc>
        <w:tc>
          <w:tcPr>
            <w:tcW w:w="3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(5,189)</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Equity method investment gain (loss)</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6,756</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Realized gain on conversion of available for sale investments</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(1,507)</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Loss on extinguishment of related party debt</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3,538</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Loss on conversion of promissory notes</w:t>
            </w:r>
          </w:p>
        </w:tc>
        <w:tc>
          <w:tcPr>
            <w:tcW w:w="3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1,119</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Deferred income taxes</w:t>
            </w:r>
          </w:p>
        </w:tc>
        <w:tc>
          <w:tcPr>
            <w:tcW w:w="3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(1,899)</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5,548</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Goodwill impairment</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233,213</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Payment of patent installment</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Non-cash rent costs</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Other, net</w:t>
            </w:r>
          </w:p>
        </w:tc>
        <w:tc>
          <w:tcPr>
            <w:tcW w:w="3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67</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i w:val="1"/>
                <w:iCs w:val="1"/>
                <w:color w:val="auto"/>
              </w:rPr>
              <w:t>Changes in operating assets and liabilities:</w:t>
            </w:r>
          </w:p>
        </w:tc>
        <w:tc>
          <w:tcPr>
            <w:tcW w:w="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Accounts receivable</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3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r>
      <w:tr>
        <w:trPr>
          <w:trHeight w:val="36"/>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Inventory</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74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Accounts payable</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1,587</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1,234</w:t>
            </w: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Accrued employee benefits</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1,943</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1,329</w:t>
            </w:r>
          </w:p>
        </w:tc>
      </w:tr>
      <w:tr>
        <w:trPr>
          <w:trHeight w:val="154"/>
        </w:trPr>
        <w:tc>
          <w:tcPr>
            <w:tcW w:w="74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Accrued expenses</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565</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488</w:t>
            </w: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Stock-based compensation liability</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Income taxes payable</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500</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89"/>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3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r>
      <w:tr>
        <w:trPr>
          <w:trHeight w:val="147"/>
        </w:trPr>
        <w:tc>
          <w:tcPr>
            <w:tcW w:w="7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Operating Activities</w:t>
            </w:r>
          </w:p>
        </w:tc>
        <w:tc>
          <w:tcPr>
            <w:tcW w:w="3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(14,696)</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(7,397)</w:t>
            </w:r>
          </w:p>
        </w:tc>
      </w:tr>
      <w:tr>
        <w:trPr>
          <w:trHeight w:val="35"/>
        </w:trPr>
        <w:tc>
          <w:tcPr>
            <w:tcW w:w="74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42"/>
        </w:trPr>
        <w:tc>
          <w:tcPr>
            <w:tcW w:w="7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154"/>
        </w:trPr>
        <w:tc>
          <w:tcPr>
            <w:tcW w:w="7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Used in Investing Activities</w:t>
            </w:r>
          </w:p>
        </w:tc>
        <w:tc>
          <w:tcPr>
            <w:tcW w:w="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Investment in available-for-sale debt securities - equity method investee</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(2,337)</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Advances to equity method investee</w:t>
            </w:r>
          </w:p>
        </w:tc>
        <w:tc>
          <w:tcPr>
            <w:tcW w:w="360" w:type="dxa"/>
            <w:vAlign w:val="bottom"/>
          </w:tcPr>
          <w:p>
            <w:pPr>
              <w:spacing w:after="0"/>
              <w:rPr>
                <w:sz w:val="13"/>
                <w:szCs w:val="13"/>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(2,540)</w:t>
            </w: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89"/>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Acquisition of property, plant and equipment</w:t>
            </w:r>
          </w:p>
        </w:tc>
        <w:tc>
          <w:tcPr>
            <w:tcW w:w="3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(917)</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(640)</w:t>
            </w:r>
          </w:p>
        </w:tc>
      </w:tr>
      <w:tr>
        <w:trPr>
          <w:trHeight w:val="147"/>
        </w:trPr>
        <w:tc>
          <w:tcPr>
            <w:tcW w:w="7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3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(3,254)</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(3,180)</w:t>
            </w:r>
          </w:p>
        </w:tc>
      </w:tr>
      <w:tr>
        <w:trPr>
          <w:trHeight w:val="35"/>
        </w:trPr>
        <w:tc>
          <w:tcPr>
            <w:tcW w:w="74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42"/>
        </w:trPr>
        <w:tc>
          <w:tcPr>
            <w:tcW w:w="7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154"/>
        </w:trPr>
        <w:tc>
          <w:tcPr>
            <w:tcW w:w="7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Provided by Financing Activities</w:t>
            </w:r>
          </w:p>
        </w:tc>
        <w:tc>
          <w:tcPr>
            <w:tcW w:w="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Proceeds from issuance of equity, net of issuance costs</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3,675</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7,116</w:t>
            </w:r>
          </w:p>
        </w:tc>
      </w:tr>
      <w:tr>
        <w:trPr>
          <w:trHeight w:val="153"/>
        </w:trPr>
        <w:tc>
          <w:tcPr>
            <w:tcW w:w="74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Proceeds from the issuance of equity to non-controlling interest, net of issuance costs</w:t>
            </w:r>
          </w:p>
        </w:tc>
        <w:tc>
          <w:tcPr>
            <w:tcW w:w="36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4,907</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3,503</w:t>
            </w: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Payment of debts</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w:t>
            </w:r>
          </w:p>
        </w:tc>
      </w:tr>
      <w:tr>
        <w:trPr>
          <w:trHeight w:val="153"/>
        </w:trPr>
        <w:tc>
          <w:tcPr>
            <w:tcW w:w="74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Distributions to Stockholders</w:t>
            </w:r>
          </w:p>
        </w:tc>
        <w:tc>
          <w:tcPr>
            <w:tcW w:w="3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7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69"/>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Payment of promissory notes to related parties</w:t>
            </w:r>
          </w:p>
        </w:tc>
        <w:tc>
          <w:tcPr>
            <w:tcW w:w="3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4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Repurchase of Preferred Stock</w:t>
            </w:r>
          </w:p>
        </w:tc>
        <w:tc>
          <w:tcPr>
            <w:tcW w:w="3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5"/>
        </w:trPr>
        <w:tc>
          <w:tcPr>
            <w:tcW w:w="74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8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Provided by Financing Activities</w:t>
            </w:r>
          </w:p>
        </w:tc>
        <w:tc>
          <w:tcPr>
            <w:tcW w:w="3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8,206</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10,159</w:t>
            </w:r>
          </w:p>
        </w:tc>
      </w:tr>
      <w:tr>
        <w:trPr>
          <w:trHeight w:val="142"/>
        </w:trPr>
        <w:tc>
          <w:tcPr>
            <w:tcW w:w="744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spacing w:after="0"/>
              <w:rPr>
                <w:sz w:val="12"/>
                <w:szCs w:val="12"/>
                <w:color w:val="auto"/>
              </w:rPr>
            </w:pPr>
          </w:p>
        </w:tc>
      </w:tr>
      <w:tr>
        <w:trPr>
          <w:trHeight w:val="18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Decrease in Cash, Cash Equivalents and Restricted Cash</w:t>
            </w:r>
          </w:p>
        </w:tc>
        <w:tc>
          <w:tcPr>
            <w:tcW w:w="3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(9,744)</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(418)</w:t>
            </w:r>
          </w:p>
        </w:tc>
      </w:tr>
      <w:tr>
        <w:trPr>
          <w:trHeight w:val="147"/>
        </w:trPr>
        <w:tc>
          <w:tcPr>
            <w:tcW w:w="7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Beginning of period</w:t>
            </w:r>
          </w:p>
        </w:tc>
        <w:tc>
          <w:tcPr>
            <w:tcW w:w="3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11,119</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2,575</w:t>
            </w:r>
          </w:p>
        </w:tc>
      </w:tr>
      <w:tr>
        <w:trPr>
          <w:trHeight w:val="35"/>
        </w:trPr>
        <w:tc>
          <w:tcPr>
            <w:tcW w:w="74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6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End of period</w:t>
            </w:r>
          </w:p>
        </w:tc>
        <w:tc>
          <w:tcPr>
            <w:tcW w:w="360" w:type="dxa"/>
            <w:vAlign w:val="bottom"/>
            <w:tcBorders>
              <w:bottom w:val="single" w:sz="8" w:color="CCEEFF"/>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1,375</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2,157</w:t>
            </w:r>
          </w:p>
        </w:tc>
      </w:tr>
      <w:tr>
        <w:trPr>
          <w:trHeight w:val="20"/>
        </w:trPr>
        <w:tc>
          <w:tcPr>
            <w:tcW w:w="7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3"/>
                <w:szCs w:val="13"/>
                <w:b w:val="1"/>
                <w:bCs w:val="1"/>
                <w:color w:val="auto"/>
                <w:w w:val="95"/>
              </w:rPr>
              <w:t>Successor</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96"/>
              </w:rPr>
              <w:t>Predecessor</w:t>
            </w:r>
          </w:p>
        </w:tc>
      </w:tr>
      <w:tr>
        <w:trPr>
          <w:trHeight w:val="169"/>
        </w:trPr>
        <w:tc>
          <w:tcPr>
            <w:tcW w:w="7440" w:type="dxa"/>
            <w:vAlign w:val="bottom"/>
          </w:tcPr>
          <w:p>
            <w:pPr>
              <w:spacing w:after="0"/>
              <w:rPr>
                <w:sz w:val="14"/>
                <w:szCs w:val="14"/>
                <w:color w:val="auto"/>
              </w:rPr>
            </w:pPr>
          </w:p>
        </w:tc>
        <w:tc>
          <w:tcPr>
            <w:tcW w:w="192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w:t>
            </w:r>
          </w:p>
        </w:tc>
        <w:tc>
          <w:tcPr>
            <w:tcW w:w="8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w:t>
            </w:r>
          </w:p>
        </w:tc>
      </w:tr>
      <w:tr>
        <w:trPr>
          <w:trHeight w:val="176"/>
        </w:trPr>
        <w:tc>
          <w:tcPr>
            <w:tcW w:w="74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6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3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r>
      <w:tr>
        <w:trPr>
          <w:trHeight w:val="173"/>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Cash paid for interest</w:t>
            </w: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29"/>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Financing Information</w:t>
            </w:r>
          </w:p>
        </w:tc>
        <w:tc>
          <w:tcPr>
            <w:tcW w:w="3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73"/>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Accretion of redeemable units to redemption value</w:t>
            </w:r>
          </w:p>
        </w:tc>
        <w:tc>
          <w:tcPr>
            <w:tcW w:w="360" w:type="dxa"/>
            <w:vAlign w:val="bottom"/>
          </w:tcPr>
          <w:p>
            <w:pPr>
              <w:spacing w:after="0"/>
              <w:rPr>
                <w:sz w:val="15"/>
                <w:szCs w:val="15"/>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4,415</w:t>
            </w:r>
          </w:p>
        </w:tc>
      </w:tr>
      <w:tr>
        <w:trPr>
          <w:trHeight w:val="29"/>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3"/>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Issuance of units to non-controlling interest in exchange of convertible promissory notes</w:t>
            </w:r>
          </w:p>
        </w:tc>
        <w:tc>
          <w:tcPr>
            <w:tcW w:w="3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7,324</w:t>
            </w:r>
          </w:p>
        </w:tc>
      </w:tr>
      <w:tr>
        <w:trPr>
          <w:trHeight w:val="195"/>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Conversion of working capital loans to equity method investee into investments in debt securities - related party</w:t>
            </w:r>
          </w:p>
        </w:tc>
        <w:tc>
          <w:tcPr>
            <w:tcW w:w="3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4,375</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Extinguishment of debt with Series C Preferred Stock</w:t>
            </w:r>
          </w:p>
        </w:tc>
        <w:tc>
          <w:tcPr>
            <w:tcW w:w="3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14,000</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Contribution of Series C Preferred Stock to equity method investee</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5,783</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3"/>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Conversion of AFX available-for-sale term loan into equity method investments</w:t>
            </w:r>
          </w:p>
        </w:tc>
        <w:tc>
          <w:tcPr>
            <w:tcW w:w="3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8,757</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Issuance of stock in exchange for services</w:t>
            </w: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4,002</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3"/>
        </w:trPr>
        <w:tc>
          <w:tcPr>
            <w:tcW w:w="7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Equity reallocation between non-controlling interest and additional paid-in capital</w:t>
            </w: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26,304</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7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references herein to "Innventure", "we", "us", "our" and "the Company" refer to the business and operations of Innventure LLC and its consolidated subsidiaries (the “Predecessor”) for all periods prior to the Closing (as defined below) and to the business and operations of Innventure, Inc., and its consolidated subsidiaries (the “Successor”) for all periods after Closing. All balance sheet amounts presented are for Successor periods.</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that we acquire or license from technology innovators, which are typically MNCs.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 Innventure, Inc., is headquartered in Orlando, Florida.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further discussed in our 2024 Annual Report, on October 2, 2024 (the “Closing Date” or “Closing”), Learn CW Investment Corporation (“Learn CW”), a Cayman Islands exempted company, and Innventure LLC, a Delaware limited liability company, consummated a business combination (the “Business Combination”) pursuant to the terms of the Business Combination Agreement previously entered into on October 24, 2023. Following the Closing, both Learn CW and Innventure LLC became subsidiaries of Learn SPAC HoldCo, Inc. (“Holdco”), a Delaware corporation and direct, wholly-owned subsidiary of Learn CW prior to Closing. Holdco changed its name to “Innventure, Inc.” and became a publicly traded company. Holdco was determined to be the accounting acquirer. Innventure, Inc., and its subsidiaries are the successor to Innventure LLC following the Business Combination.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provided in this Quarterly Report on Form 10-Q reflects two distinct periods, the period up to the Closing Date labeled as the Predecessor and the period including and after that date labeled as the Successor. The Business Combination was accounted for using the acquisition method of accounting and the Successor financial statements reflect a new basis of accounting that is based on the fair value of the net assets acquired. As a result of the application of the acquisition method of accounting as of the Closing Date, the accompanying condensed consolidated financial statements include a black line division which indicates that the Predecessor and Successor reporting entities shown are presented on a different basis and are therefore, not comparable.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condensed consolidated financial statements are unaudited and should be read in conjunction with the Company's most recent annual audited consolidated financial statements and notes thereto. These condensed consolidated financial statements have been prepared in accordance with the instructions for the Securities and Exchange Commission’s (“SEC’s”) Form 10-Q and Article 10 of Regulation S-X. Certain information and footnote disclosures normally included in financial statements prepared in accordance with U.S. generally accepted accounting principles ("GAAP") have been condensed or omitted pursuant to rules and regulations of the SEC, although the Company believes that the disclosures are adequate to make the information presented not misleading. In the opinion of management, all adjustments, consisting only of normal recurring adjustments considered necessary for a fair presentation of results of operations and financial position, have been included.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same accounting policies in preparing quarterly and annual financial statements.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(Successor), we identified an error and recorded an immaterial out of period adjustment of $10,464 to correct an overstatement of Additional paid-in capital, an immaterial out of period adjustment of $4,454 to correct understatement of Net loss attributable to Innventure, Inc. stockholders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immaterial out of period adjustment of $14,918 to correct an understatement of Non-controlling interest. The impact of the adjustments are not material to the condensed consolidated financial statements for any interim or annual periods prior to March 31, 2025 nor the current financial period. The out of period adjustment to Additional paid-in capital is included in the Non-controlling interest issued and related transfers within the consolidated statements of changes in mezzanine and stockholders' equity (deficit) and the adjustment related to Net loss attributable to Innventure, Inc. within Comprehensive loss attributable to Non-redeemable non-controlling interest on the condensed consolidated statements of operations and comprehensive income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amounts reported previously have been reclassified to conform to the current year presentation with no effect on total stockholders' deficit, or net income as previously reported.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cash balance of $1,375, accumulated deficit of $221,285 and a working capital deficit of $37,039. During the three months ended March 31, 2025 (Successor), the Company incurred a net loss of $253,674. We have experienced recurring losses from operations and negative cash flows from operating activities. In addition, we continue to have an ongoing need to raise significant additional cash from outside sources to sustain our operations and fund our growth plans.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our assessment of going concern considerations in accordance with FASB’s ASU 2014-15, “Disclosures of Uncertainties about an Entity’s Ability to Continue as a Going Concern,” management has determined that these conditions raise substantial doubt about our ability to continue as a going concern within one year after the date of the condensed consolidated financial statements included in Item 1. of this Form 10-Q. If we are unable to obtain adequate capital from public or private equity or debt financing (including the SEPA), or otherwise generate sufficient revenues from our Operating Companies to support our cost structure within the normal operating cycle of a twelve (12) month period, we may have to implement cost reduction measures or adjust the timing or scope of certain operations at Innventure or certain Innventure Companies, in part or in full, to help manage liquidity. If we raise additional funds through the issuance of additional debt or equity securities, it could result in substantial dilution to our existing stockholders and increased fixed payment obligations, and these securities may have rights senior to those of our Common Stock. See “Item 1A. Risk Factors – Risks Related to Innventure’s Business – There is uncertainty regarding Innventure’s ability to maintain liquidity sufficient to operate its business effectively, which raises substantial doubt about its ability to continue as a going concern.” in our 2024 Annual Report.</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that the Company will continue as a going concern within one year after the date of the accompanying condensed consolidated financial statements are issued; however, the above conditions raise substantial doubt about the Company’s ability to do so. The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improve our operating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 Board’s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("ASU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has made the required disclosures related to this ASU within Note 17. Business Segment Data.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But Not Yet Adopted Accounting Standards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Simplification Initiative </w:t>
      </w:r>
      <w:r>
        <w:rPr>
          <w:rFonts w:ascii="Times New Roman" w:cs="Times New Roman" w:eastAsia="Times New Roman" w:hAnsi="Times New Roman"/>
          <w:sz w:val="18"/>
          <w:szCs w:val="18"/>
          <w:color w:val="auto"/>
        </w:rPr>
        <w:t>(“ASU 2023-06”). This standard modifies the disclosure or presentation requirements of a variety of topics and aligns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SEC’s existing disclosure requirements. ASU 2023-06 is effective on the date each amendment is removed from Regulation S-X or Regulation S-K with early adoption prohibited. The Company will monitor the removal of various requirements from the current regulations in order to determine when to adopt the related amendments but does not anticipate the adoption of the new guidance will have a material impact on the Company’s condensed consolidated financial statements. The Company will continue to evaluate the impact of this guidance on its condensed consolidated financial statements.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The Company is currently evaluating the impact that the adoption of this accounting standard will have on its condensed consolidated financial statements.</w:t>
      </w:r>
    </w:p>
    <w:p>
      <w:pPr>
        <w:spacing w:after="0" w:line="1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220-40): Disaggregation of Income Statement Expenses </w:t>
      </w:r>
      <w:r>
        <w:rPr>
          <w:rFonts w:ascii="Times New Roman" w:cs="Times New Roman" w:eastAsia="Times New Roman" w:hAnsi="Times New Roman"/>
          <w:sz w:val="17"/>
          <w:szCs w:val="17"/>
          <w:color w:val="auto"/>
        </w:rPr>
        <w:t>("ASU 2024-03"). In January 2025, the FASB issued Clarifying the Effective Date (“ASU 2025-01”) to add some clarity around the effective date of the guidance. ASU 2024-03 requires disclosures about specific types of expenses included in the expense captions presented on the face of the income statement as well as disclosures about selling expenses. The new standard is effective for fiscal years beginning after December 15, 2026, and for interim periods within fiscal years beginning after December 15, 2027. Early adoption is permitted. The amendments may be applied either prospectively, to financial statements issued after the effective date, or retrospectively, to all prior periods presented. The Company is currently evaluating the impact that the adoption of this accounting standard will have on its condensed consolidated financial statements.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Equity-method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17,547</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debt securities - AFS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28,734</w:t>
            </w:r>
          </w:p>
        </w:tc>
      </w:tr>
      <w:tr>
        <w:trPr>
          <w:trHeight w:val="20"/>
        </w:trPr>
        <w:tc>
          <w:tcPr>
            <w:tcW w:w="8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Equity-method investments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ESG Fund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Innventus ESG Fund I, L.P. (the “ESG Fund”) is an investment company that follows a specialized basis of accounting established by GAAP. The Company’s general partnership interest in the ESG Fund is substantially illiquid. While the ESG Fund’s holdings are accounted for at fair value, the equity-method investment in the ESG Fund is adjusted to reflect the fair value of the underlying investments of the ESG Fund as of March 31, 2025 and December 31, 2024. The fair value of the underlying investments in the ESG Fund is based on the Company’s assessment, which takes into account expected cash flows, earnings multiples and/or comparisons to similar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transactions, among other factors. Valuation adjustments reflecting consideration of credit quality, concentration risk, sales restrictions and other liquidity factors are integral to valuing these instruments.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AeroFlexx</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a 38% and 34% equity method investment interest in AeroFlexx as of March 31, 2025 and December 31, 2024,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debt securities - Available for Sale (“AFS”)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 2024, the Company entered into a loan agreement with AeroFlexx under which the Company will lend up to $10,000 to AeroFlexx.</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loans and any unpaid accrued interest are required to be repaid by the maturity date, which is the earlier of (i) December 31, 2026 or (ii) the date of the sale, transfer or other disposition all of AeroFlexx’s assets or AeroFlexx's stock. After any full or partial repayment of the term loans, AeroFlexx may borrow additional funds up to the $10,000 limit until the maturity date. The loans bear interest at the applicable federal rate published by the Internal Revenue Service and is adjusted on a quarterly basis.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an option to convert the outstanding principal amount of the term loans and any unpaid accrued interest into shares or units in connection with the next issuance of equity securities by AeroFlexx, at a price equal to 100% of the price per share or unit and on the same terms and conditions as apply to such issuance.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2024, the Company lent AeroFlexx the entire $10,000 principal balance under this agreement. As of January 1, 2025, AeroFlexx was unable to raise any additional equity financing, therefore the outstanding principal and unpaid accrued interest with an amount equal to the equity deficit of $7,250 was automatically converted into Class D preferred units of AeroFlexx at the price of $6.83 per share in accordance with the loan agreement. Upon conversion, a realized gain of $1,507 was recognized for the three months ended March 31, 2025 (Successor) and is included in non-operating income in the condensed consolidated statements of operations and comprehensive income (loss).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(Successor), $4,375 was reclassified from Due from related parties under the term loan and $2,337 was drawn down by AeroFlexx under the term loan. The total balance drawn as of March 31, 2025 was $9,629.</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accounted for the loans as an investment in debt securities and classified them as available for sale debt securities. Based on the AFS classification, the Company records this investment at fair value at each reporting date and as such recorded the changes in fair value of these loans (including the adjustment to fair value at inception date) in Other comprehensive income ("OCI").</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contractual maturity of the loan is in 2026, it is included in the non-current line item Investments of the condensed consolidated balance sheets. The change in fair value of this investment in debt securities of $880 for the three months ended March 31, 2025 (Successor) is included as Unrealized loss on available for sale debt securities - related party in the condensed consolidated statements of operations and comprehensive income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assets and liabilities measured at fair value on a recurring basis as of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debt security - AFS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w:t>
            </w: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6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WTI warrant liability</w:t>
            </w: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w:t>
            </w: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1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w:t>
            </w:r>
          </w:p>
        </w:tc>
      </w:tr>
      <w:tr>
        <w:trPr>
          <w:trHeight w:val="504"/>
        </w:trPr>
        <w:tc>
          <w:tcPr>
            <w:tcW w:w="3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7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0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debt security - AFS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6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1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WTI warrant liability</w:t>
            </w:r>
          </w:p>
        </w:tc>
        <w:tc>
          <w:tcPr>
            <w:tcW w:w="1200" w:type="dxa"/>
            <w:vAlign w:val="bottom"/>
          </w:tcPr>
          <w:p>
            <w:pPr>
              <w:spacing w:after="0"/>
              <w:rPr>
                <w:sz w:val="21"/>
                <w:szCs w:val="21"/>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17,230</w:t>
            </w:r>
          </w:p>
        </w:tc>
      </w:tr>
      <w:tr>
        <w:trPr>
          <w:trHeight w:val="27"/>
        </w:trPr>
        <w:tc>
          <w:tcPr>
            <w:tcW w:w="3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16,793</w:t>
            </w:r>
          </w:p>
        </w:tc>
      </w:tr>
      <w:tr>
        <w:trPr>
          <w:trHeight w:val="27"/>
        </w:trPr>
        <w:tc>
          <w:tcPr>
            <w:tcW w:w="36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Gains and losses for such assets and liabilities categorized within the Level 3 table set forth may include changes in fair value that are attributable to both observable inputs (Levels 1 and 2) and unobservable inputs (Level 3).</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Changes in the estimated fair value of Level 3 financial assets and liabilities that are measured on a recurring basis for the three months ended March 31, 2025 (Successor) and the three months ended March 31, 2024 (Predecessor), respectively,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Embedded</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Investment in debt</w:t>
            </w:r>
          </w:p>
        </w:tc>
        <w:tc>
          <w:tcPr>
            <w:tcW w:w="120" w:type="dxa"/>
            <w:vAlign w:val="bottom"/>
          </w:tcPr>
          <w:p>
            <w:pPr>
              <w:spacing w:after="0"/>
              <w:rPr>
                <w:sz w:val="17"/>
                <w:szCs w:val="17"/>
                <w:color w:val="auto"/>
              </w:rPr>
            </w:pPr>
          </w:p>
        </w:tc>
        <w:tc>
          <w:tcPr>
            <w:tcW w:w="14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Earnout Liability</w:t>
            </w:r>
          </w:p>
        </w:tc>
        <w:tc>
          <w:tcPr>
            <w:tcW w:w="180" w:type="dxa"/>
            <w:vAlign w:val="bottom"/>
          </w:tcPr>
          <w:p>
            <w:pPr>
              <w:spacing w:after="0"/>
              <w:rPr>
                <w:sz w:val="17"/>
                <w:szCs w:val="17"/>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WTI Warrant</w:t>
            </w:r>
          </w:p>
        </w:tc>
        <w:tc>
          <w:tcPr>
            <w:tcW w:w="0" w:type="dxa"/>
            <w:vAlign w:val="bottom"/>
          </w:tcPr>
          <w:p>
            <w:pPr>
              <w:spacing w:after="0"/>
              <w:rPr>
                <w:sz w:val="1"/>
                <w:szCs w:val="1"/>
                <w:color w:val="auto"/>
              </w:rPr>
            </w:pPr>
          </w:p>
        </w:tc>
      </w:tr>
      <w:tr>
        <w:trPr>
          <w:trHeight w:val="238"/>
        </w:trPr>
        <w:tc>
          <w:tcPr>
            <w:tcW w:w="494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Liability</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securities - AFS</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2024 (Predecessor)</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240" w:type="dxa"/>
            <w:vAlign w:val="bottom"/>
          </w:tcPr>
          <w:p>
            <w:pPr>
              <w:spacing w:after="0"/>
              <w:rPr>
                <w:sz w:val="19"/>
                <w:szCs w:val="19"/>
                <w:color w:val="auto"/>
              </w:rPr>
            </w:pP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(2,472)</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 (Predecessor)</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 $</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2025 (Successor)</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11,187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17,230</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24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 (Successor)</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 $</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8,353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13,350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transfers in or out of levels during the three months ended March 31, 2025 (Successor) nor for the three months ended March 31, 2024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significant unobservable inputs (Level 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Principal Valuation</w:t>
            </w:r>
          </w:p>
        </w:tc>
        <w:tc>
          <w:tcPr>
            <w:tcW w:w="298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220" w:type="dxa"/>
            <w:vAlign w:val="bottom"/>
          </w:tcPr>
          <w:p>
            <w:pPr>
              <w:spacing w:after="0"/>
              <w:rPr>
                <w:sz w:val="17"/>
                <w:szCs w:val="17"/>
                <w:color w:val="auto"/>
              </w:rPr>
            </w:pPr>
          </w:p>
        </w:tc>
        <w:tc>
          <w:tcPr>
            <w:tcW w:w="15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17"/>
                <w:szCs w:val="17"/>
                <w:color w:val="auto"/>
              </w:rPr>
            </w:pPr>
          </w:p>
        </w:tc>
        <w:tc>
          <w:tcPr>
            <w:tcW w:w="15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0" w:type="dxa"/>
            <w:vAlign w:val="bottom"/>
          </w:tcPr>
          <w:p>
            <w:pPr>
              <w:spacing w:after="0"/>
              <w:rPr>
                <w:sz w:val="1"/>
                <w:szCs w:val="1"/>
                <w:color w:val="auto"/>
              </w:rPr>
            </w:pPr>
          </w:p>
        </w:tc>
      </w:tr>
      <w:tr>
        <w:trPr>
          <w:trHeight w:val="238"/>
        </w:trPr>
        <w:tc>
          <w:tcPr>
            <w:tcW w:w="4840" w:type="dxa"/>
            <w:vAlign w:val="bottom"/>
            <w:tcBorders>
              <w:bottom w:val="single" w:sz="8" w:color="auto"/>
            </w:tcBorders>
          </w:tcPr>
          <w:p>
            <w:pPr>
              <w:ind w:left="3200"/>
              <w:spacing w:after="0"/>
              <w:rPr>
                <w:sz w:val="20"/>
                <w:szCs w:val="20"/>
                <w:color w:val="auto"/>
              </w:rPr>
            </w:pPr>
            <w:r>
              <w:rPr>
                <w:rFonts w:ascii="Times New Roman" w:cs="Times New Roman" w:eastAsia="Times New Roman" w:hAnsi="Times New Roman"/>
                <w:sz w:val="18"/>
                <w:szCs w:val="18"/>
                <w:b w:val="1"/>
                <w:bCs w:val="1"/>
                <w:color w:val="auto"/>
              </w:rPr>
              <w:t>Techniques</w:t>
            </w:r>
          </w:p>
        </w:tc>
        <w:tc>
          <w:tcPr>
            <w:tcW w:w="29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 debt securities - AFS:</w:t>
            </w:r>
          </w:p>
        </w:tc>
        <w:tc>
          <w:tcPr>
            <w:tcW w:w="2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Black-Scholes model</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19"/>
                <w:szCs w:val="19"/>
                <w:color w:val="auto"/>
              </w:rPr>
            </w:pP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Time to liquidity</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19"/>
                <w:szCs w:val="19"/>
                <w:color w:val="auto"/>
              </w:rPr>
            </w:pP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45.00 %</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Risk-free rate</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Discounted Cash Flows</w:t>
            </w:r>
          </w:p>
        </w:tc>
        <w:tc>
          <w:tcPr>
            <w:tcW w:w="29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AeroFlexx yield</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13.88 %</w:t>
            </w: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Earnout Shares:</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Geometric Brownian Motion</w:t>
            </w: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years</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years</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19"/>
                <w:szCs w:val="19"/>
                <w:color w:val="auto"/>
              </w:rPr>
            </w:pP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56.00 %</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Risk-free rate</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19"/>
                <w:szCs w:val="19"/>
                <w:color w:val="auto"/>
              </w:rPr>
            </w:pP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Dividend yield</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Revenue risk premium</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36.10 %</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840" w:type="dxa"/>
            <w:vAlign w:val="bottom"/>
            <w:tcBorders>
              <w:bottom w:val="single" w:sz="8" w:color="CCEEFF"/>
            </w:tcBorders>
            <w:shd w:val="clear" w:color="auto" w:fill="CCEEFF"/>
          </w:tcPr>
          <w:p>
            <w:pPr>
              <w:spacing w:after="0"/>
              <w:rPr>
                <w:sz w:val="23"/>
                <w:szCs w:val="23"/>
                <w:color w:val="auto"/>
              </w:rPr>
            </w:pPr>
          </w:p>
        </w:tc>
        <w:tc>
          <w:tcPr>
            <w:tcW w:w="29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Revenue volatility</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157.50 %</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176.00 %</w:t>
            </w:r>
          </w:p>
        </w:tc>
        <w:tc>
          <w:tcPr>
            <w:tcW w:w="0" w:type="dxa"/>
            <w:vAlign w:val="bottom"/>
          </w:tcPr>
          <w:p>
            <w:pPr>
              <w:spacing w:after="0"/>
              <w:rPr>
                <w:sz w:val="1"/>
                <w:szCs w:val="1"/>
                <w:color w:val="auto"/>
              </w:rPr>
            </w:pPr>
          </w:p>
        </w:tc>
      </w:tr>
      <w:tr>
        <w:trPr>
          <w:trHeight w:val="223"/>
        </w:trPr>
        <w:tc>
          <w:tcPr>
            <w:tcW w:w="4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WTI Warrants:</w:t>
            </w:r>
          </w:p>
        </w:tc>
        <w:tc>
          <w:tcPr>
            <w:tcW w:w="2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Geometric Brownian Motion</w:t>
            </w:r>
          </w:p>
        </w:tc>
        <w:tc>
          <w:tcPr>
            <w:tcW w:w="29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price volatility</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56.00 %</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40" w:type="dxa"/>
            <w:vAlign w:val="bottom"/>
            <w:shd w:val="clear" w:color="auto" w:fill="CCEEFF"/>
          </w:tcPr>
          <w:p>
            <w:pPr>
              <w:spacing w:after="0"/>
              <w:rPr>
                <w:sz w:val="21"/>
                <w:szCs w:val="21"/>
                <w:color w:val="auto"/>
              </w:rPr>
            </w:pPr>
          </w:p>
        </w:tc>
        <w:tc>
          <w:tcPr>
            <w:tcW w:w="2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Credit spread</w:t>
            </w: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18.80 %</w:t>
            </w:r>
          </w:p>
        </w:tc>
        <w:tc>
          <w:tcPr>
            <w:tcW w:w="0" w:type="dxa"/>
            <w:vAlign w:val="bottom"/>
          </w:tcPr>
          <w:p>
            <w:pPr>
              <w:spacing w:after="0"/>
              <w:rPr>
                <w:sz w:val="1"/>
                <w:szCs w:val="1"/>
                <w:color w:val="auto"/>
              </w:rPr>
            </w:pPr>
          </w:p>
        </w:tc>
      </w:tr>
      <w:tr>
        <w:trPr>
          <w:trHeight w:val="27"/>
        </w:trPr>
        <w:tc>
          <w:tcPr>
            <w:tcW w:w="484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further discussed in Note 3. Investments, an outstanding principal and accrued interest of $7,250 for the investment in debt securities - AFS was automatically converted into Class D preferred units in accordance with the loan agreement. Prior to the conversion, the fair value was estimated using a Black Scholes model. Post conversion, the fair value is estimated using a discounted cash flow model by discounting the contractual debt cash flows at a rate incorporating the credit risk of AeroFlexx.</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on the Earnout Shares and WTI Warrants, refer to Note 9. Earnout Shares and Note 10. Warrants,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Borrowings</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0"/>
        </w:trPr>
        <w:tc>
          <w:tcPr>
            <w:tcW w:w="3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20" w:type="dxa"/>
            <w:vAlign w:val="bottom"/>
          </w:tcPr>
          <w:p>
            <w:pPr>
              <w:spacing w:after="0"/>
              <w:rPr>
                <w:sz w:val="24"/>
                <w:szCs w:val="24"/>
                <w:color w:val="auto"/>
              </w:rPr>
            </w:pPr>
          </w:p>
        </w:tc>
      </w:tr>
      <w:tr>
        <w:trPr>
          <w:trHeight w:val="238"/>
        </w:trPr>
        <w:tc>
          <w:tcPr>
            <w:tcW w:w="3980" w:type="dxa"/>
            <w:vAlign w:val="bottom"/>
          </w:tcPr>
          <w:p>
            <w:pPr>
              <w:spacing w:after="0"/>
              <w:rPr>
                <w:sz w:val="20"/>
                <w:szCs w:val="20"/>
                <w:color w:val="auto"/>
              </w:rPr>
            </w:pPr>
          </w:p>
        </w:tc>
        <w:tc>
          <w:tcPr>
            <w:tcW w:w="13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Maturities</w:t>
            </w:r>
          </w:p>
        </w:tc>
        <w:tc>
          <w:tcPr>
            <w:tcW w:w="140" w:type="dxa"/>
            <w:vAlign w:val="bottom"/>
          </w:tcPr>
          <w:p>
            <w:pPr>
              <w:spacing w:after="0"/>
              <w:rPr>
                <w:sz w:val="20"/>
                <w:szCs w:val="20"/>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 Rates</w:t>
            </w: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Rates</w:t>
            </w:r>
          </w:p>
        </w:tc>
      </w:tr>
      <w:tr>
        <w:trPr>
          <w:trHeight w:val="27"/>
        </w:trPr>
        <w:tc>
          <w:tcPr>
            <w:tcW w:w="39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1 promissory notes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2025 - 2026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 - 15%</w:t>
            </w: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notes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2024 - 2025</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 - 15.99%</w:t>
            </w:r>
          </w:p>
        </w:tc>
      </w:tr>
      <w:tr>
        <w:trPr>
          <w:trHeight w:val="27"/>
        </w:trPr>
        <w:tc>
          <w:tcPr>
            <w:tcW w:w="3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Facility</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13.50%</w:t>
            </w:r>
          </w:p>
        </w:tc>
      </w:tr>
      <w:tr>
        <w:trPr>
          <w:trHeight w:val="23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w:t>
            </w:r>
          </w:p>
        </w:tc>
        <w:tc>
          <w:tcPr>
            <w:tcW w:w="13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20,425</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34,725</w:t>
            </w:r>
          </w:p>
        </w:tc>
        <w:tc>
          <w:tcPr>
            <w:tcW w:w="1420" w:type="dxa"/>
            <w:vAlign w:val="bottom"/>
          </w:tcPr>
          <w:p>
            <w:pPr>
              <w:spacing w:after="0"/>
              <w:rPr>
                <w:sz w:val="20"/>
                <w:szCs w:val="20"/>
                <w:color w:val="auto"/>
              </w:rPr>
            </w:pPr>
          </w:p>
        </w:tc>
      </w:tr>
      <w:tr>
        <w:trPr>
          <w:trHeight w:val="27"/>
        </w:trPr>
        <w:tc>
          <w:tcPr>
            <w:tcW w:w="3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related party notes payable</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420" w:type="dxa"/>
            <w:vAlign w:val="bottom"/>
          </w:tcPr>
          <w:p>
            <w:pPr>
              <w:spacing w:after="0"/>
              <w:rPr>
                <w:sz w:val="21"/>
                <w:szCs w:val="21"/>
                <w:color w:val="auto"/>
              </w:rPr>
            </w:pPr>
          </w:p>
        </w:tc>
      </w:tr>
      <w:tr>
        <w:trPr>
          <w:trHeight w:val="27"/>
        </w:trPr>
        <w:tc>
          <w:tcPr>
            <w:tcW w:w="3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notes payable</w:t>
            </w:r>
          </w:p>
        </w:tc>
        <w:tc>
          <w:tcPr>
            <w:tcW w:w="1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20" w:type="dxa"/>
            <w:vAlign w:val="bottom"/>
            <w:tcBorders>
              <w:bottom w:val="single" w:sz="8" w:color="CCEEFF"/>
            </w:tcBorders>
            <w:shd w:val="clear" w:color="auto" w:fill="CCEEFF"/>
          </w:tcPr>
          <w:p>
            <w:pPr>
              <w:spacing w:after="0"/>
              <w:rPr>
                <w:sz w:val="23"/>
                <w:szCs w:val="23"/>
                <w:color w:val="auto"/>
              </w:rPr>
            </w:pPr>
          </w:p>
        </w:tc>
      </w:tr>
      <w:tr>
        <w:trPr>
          <w:trHeight w:val="23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Notes</w:t>
            </w:r>
          </w:p>
        </w:tc>
        <w:tc>
          <w:tcPr>
            <w:tcW w:w="13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12,346</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13,654</w:t>
            </w:r>
          </w:p>
        </w:tc>
        <w:tc>
          <w:tcPr>
            <w:tcW w:w="1420" w:type="dxa"/>
            <w:vAlign w:val="bottom"/>
          </w:tcPr>
          <w:p>
            <w:pPr>
              <w:spacing w:after="0"/>
              <w:rPr>
                <w:sz w:val="20"/>
                <w:szCs w:val="20"/>
                <w:color w:val="auto"/>
              </w:rPr>
            </w:pPr>
          </w:p>
        </w:tc>
      </w:tr>
      <w:tr>
        <w:trPr>
          <w:trHeight w:val="27"/>
        </w:trPr>
        <w:tc>
          <w:tcPr>
            <w:tcW w:w="3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debt is carried on a historical cost basis net of unamortized discounts and premiums. Costs associated with acquiring debt are presented in the condensed consolidated balance sheets as a direct deduction from the carrying amount of the debt as a debt discount. Discounts on debt are amortized over the contractual life of the related debt instrument using the effective interest method (unless otherwise specified below) and are included in Interest expense, net in the condensed consolidated statements of operations and comprehensive income (loss).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notes payable, excluding debt issuance costs, mature as follows: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80" w:type="dxa"/>
            <w:vAlign w:val="bottom"/>
          </w:tcPr>
          <w:p>
            <w:pPr>
              <w:spacing w:after="0"/>
              <w:rPr>
                <w:sz w:val="24"/>
                <w:szCs w:val="24"/>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9 months)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20,425</w:t>
            </w:r>
          </w:p>
        </w:tc>
      </w:tr>
      <w:tr>
        <w:trPr>
          <w:trHeight w:val="20"/>
        </w:trPr>
        <w:tc>
          <w:tcPr>
            <w:tcW w:w="9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1 Promissory Notes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2018, the Company authorized the issuance and sale of unsecured promissory notes to investors up to $35,000. From 2018 to 2021, the Company issued promissory notes with a total principal amount of $4,936. The notes require monthly interest payments, have an original maturity period of 36-48 months, and bear interest at 9%-12% per annum. The notes contain two term extension options, at the Company’s election, which can extend the notes’ maturity period to 60 months in total. If the Company elects its first term extension option, the note will bear interest at 12% for months 36 through 48. If the Company elects its second term extension option, the notes will bear interest at 15% for months 48 through 60.</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Extensions on Series 1 promissory notes were as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amount of 1st extension promissory notes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amount of 2nd extension promissory notes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Series 1 promissory notes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attributable to contractual interest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1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0" w:type="dxa"/>
            <w:vAlign w:val="bottom"/>
          </w:tcPr>
          <w:p>
            <w:pPr>
              <w:spacing w:after="0"/>
              <w:rPr>
                <w:sz w:val="1"/>
                <w:szCs w:val="1"/>
                <w:color w:val="auto"/>
              </w:rPr>
            </w:pPr>
          </w:p>
        </w:tc>
      </w:tr>
      <w:tr>
        <w:trPr>
          <w:trHeight w:val="238"/>
        </w:trPr>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0"/>
        </w:trPr>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607"/>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-1542415</wp:posOffset>
            </wp:positionV>
            <wp:extent cx="71323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-179705</wp:posOffset>
            </wp:positionV>
            <wp:extent cx="71323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56" w:lineRule="exact"/>
        <w:rPr>
          <w:sz w:val="20"/>
          <w:szCs w:val="20"/>
          <w:color w:val="auto"/>
        </w:rPr>
      </w:pPr>
    </w:p>
    <w:p>
      <w:pPr>
        <w:sectPr>
          <w:pgSz w:w="11900" w:h="16838" w:orient="portrait"/>
          <w:cols w:equalWidth="0" w:num="2">
            <w:col w:w="5920" w:space="720"/>
            <w:col w:w="4600"/>
          </w:cols>
          <w:pgMar w:left="320" w:top="121"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unsecured promissory notes with two related parties, the first on August 20, 2024, for a principal amount of $10,000, and the second on August 22, 2024, for a principal amount of $2,000.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 These notes were subsequently amended on October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and interest will accrue at the rate of 15.99% per annum until paid. The amendment was accounted for as a troubled debt restructuring as the Company was provided a concession through a decrease in the effective interest rate. However, no gain or loss was recognized as a result.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per the amended note with the second party, the maturity date was extended to January 31, 2025 and the interest rate was increased to 13.50% per annum. Additionally, $1,000 of the principal amount became due on or around the amendment date.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the related party notes was as follows: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rPr>
                <w:sz w:val="1"/>
                <w:szCs w:val="1"/>
                <w:color w:val="auto"/>
              </w:rPr>
            </w:pPr>
          </w:p>
        </w:tc>
      </w:tr>
      <w:tr>
        <w:trPr>
          <w:trHeight w:val="243"/>
        </w:trPr>
        <w:tc>
          <w:tcPr>
            <w:tcW w:w="7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0" w:type="dxa"/>
            <w:vAlign w:val="bottom"/>
          </w:tcPr>
          <w:p>
            <w:pPr>
              <w:spacing w:after="0"/>
              <w:rPr>
                <w:sz w:val="1"/>
                <w:szCs w:val="1"/>
                <w:color w:val="auto"/>
              </w:rPr>
            </w:pPr>
          </w:p>
        </w:tc>
      </w:tr>
      <w:tr>
        <w:trPr>
          <w:trHeight w:val="238"/>
        </w:trPr>
        <w:tc>
          <w:tcPr>
            <w:tcW w:w="7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related party notes above, the Company also has a related party note for $1,000 through an unsecured promissory note with an additional related party dated May 2, 2024. As per the terms of the executed agreement, the principal amount became due on December 21, 2024 and interest will accrue at the rate of 8.00% per annum. Upon maturity, the Company is required to repay the outstanding principal amount of $1,000 and a loan fee equal to approximately $63.</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20, 2025, in connection with the issuance of Series C Preferred Stock (as defined below), the Company extinguished the outstanding amount of related party notes. The Company recognized a loss of $3,538 in Loss on extinguishment of related party debt on the condensed consolidated statements of operations and comprehensive income (loss) for the three months ended March 31, 2025 (Successor).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Facility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22, 2024, the Company entered into a term loan with WTI Fund X, Inc. and WTI Fund XI, Inc., (collectively, “WTI Lenders”). The terms of the loan provides for a term loan facility in the aggregate principal amount of up to $50,000 (the "WTI Facility"). The total aggregate principal was available in three separate tranches subject to the Company meeting certain conditions. The Company received $20,000 (the “First Tranche”) on November 15, 2024. The First Tranche, principal and interest, shall be repaid over a period of 30 months in equal, monthly installments, commencing after an initial 12-month period of interest-only monthly payments, resulting in a total term of 42 months. The interest rate on the outstanding principal amounts under the WTI Facility for the three months ended March 31, 2025 (Successor) was 13.50%.</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WTI Facility will accrue interest at a rate per annum equal to the greater of (i) the “prime rate” of interest, as published by The Wall Street Journal on the date that the WTI Lenders prepare the promissory notes for the borrowings under such tranche, plus 5% and (ii) 13.50% and will amortize, after an interest-only period of twelve months in the case of the First Tranche in equal monthly installments over a period of thirty months. Obligations are secured by a lien on the majority of the assets of Innventure LLC and Innventure, Inc.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WTI Facility, the Company issued WTI Warrants to the WTI Lenders (as further defined and described in Note 10. Warrants). The Company accounted for each of the WTI Warrants as detachable warrants at their fair value. The fair value of the WTI Warrants was recorded as a liability and as a discount to the WTI Facility on the condensed consolidated balance sheets. The Company is amortizing the discount over the term of the WTI Facility using the straight-line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this facility was as follows: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0" w:type="dxa"/>
            <w:vAlign w:val="bottom"/>
          </w:tcPr>
          <w:p>
            <w:pPr>
              <w:spacing w:after="0" w:line="20" w:lineRule="exact"/>
              <w:rPr>
                <w:sz w:val="1"/>
                <w:szCs w:val="1"/>
                <w:color w:val="auto"/>
              </w:rPr>
            </w:pPr>
          </w:p>
        </w:tc>
      </w:tr>
      <w:tr>
        <w:trPr>
          <w:trHeight w:val="243"/>
        </w:trPr>
        <w:tc>
          <w:tcPr>
            <w:tcW w:w="7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0" w:type="dxa"/>
            <w:vAlign w:val="bottom"/>
          </w:tcPr>
          <w:p>
            <w:pPr>
              <w:spacing w:after="0"/>
              <w:rPr>
                <w:sz w:val="1"/>
                <w:szCs w:val="1"/>
                <w:color w:val="auto"/>
              </w:rPr>
            </w:pPr>
          </w:p>
        </w:tc>
      </w:tr>
      <w:tr>
        <w:trPr>
          <w:trHeight w:val="238"/>
        </w:trPr>
        <w:tc>
          <w:tcPr>
            <w:tcW w:w="7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attributable to contractual interest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attributable to amortization of issuance costs</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Debentures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25, 2025, the Company entered into a securities purchase agreement related to the issuance and sale of convertible debentures (“Convertible Debentures”) with an aggregate principal amount of up to $30,000. These Convertible Debentures will be convertible into shares of the Company’s common stock, $0.0001 par value, (“Common Stock”) (as converted, the “Conversion Shares”). The Company will issue the aggregate principal amount of Convertible Debentures in two tranches tied to separate reporting and filing requirements. As of March 31, 2025, the Company had not yet met the required reporting and filing requirements and therefore had not issued these Convertible Debentures. See Note 18. Subsequent Events for further details on this agreement.</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8"/>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5,220</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5,178</w:t>
            </w:r>
          </w:p>
        </w:tc>
      </w:tr>
      <w:tr>
        <w:trPr>
          <w:trHeight w:val="46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Property, Plant and Equipment</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7"/>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&amp; office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1,492</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r>
      <w:tr>
        <w:trPr>
          <w:trHeight w:val="20"/>
        </w:trPr>
        <w:tc>
          <w:tcPr>
            <w:tcW w:w="8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7180" w:type="dxa"/>
            <w:vAlign w:val="bottom"/>
            <w:gridSpan w:val="2"/>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Innventure, Inc. and Subsidiaries</w:t>
            </w:r>
          </w:p>
        </w:tc>
        <w:tc>
          <w:tcPr>
            <w:tcW w:w="1100" w:type="dxa"/>
            <w:vAlign w:val="bottom"/>
          </w:tcPr>
          <w:p>
            <w:pPr>
              <w:spacing w:after="0"/>
              <w:rPr>
                <w:sz w:val="20"/>
                <w:szCs w:val="20"/>
                <w:color w:val="auto"/>
              </w:rPr>
            </w:pPr>
          </w:p>
        </w:tc>
      </w:tr>
      <w:tr>
        <w:trPr>
          <w:trHeight w:val="283"/>
        </w:trPr>
        <w:tc>
          <w:tcPr>
            <w:tcW w:w="2960" w:type="dxa"/>
            <w:vAlign w:val="bottom"/>
          </w:tcPr>
          <w:p>
            <w:pPr>
              <w:spacing w:after="0"/>
              <w:rPr>
                <w:sz w:val="24"/>
                <w:szCs w:val="24"/>
                <w:color w:val="auto"/>
              </w:rPr>
            </w:pPr>
          </w:p>
        </w:tc>
        <w:tc>
          <w:tcPr>
            <w:tcW w:w="7180" w:type="dxa"/>
            <w:vAlign w:val="bottom"/>
            <w:gridSpan w:val="2"/>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tc>
        <w:tc>
          <w:tcPr>
            <w:tcW w:w="1100" w:type="dxa"/>
            <w:vAlign w:val="bottom"/>
          </w:tcPr>
          <w:p>
            <w:pPr>
              <w:spacing w:after="0"/>
              <w:rPr>
                <w:sz w:val="24"/>
                <w:szCs w:val="24"/>
                <w:color w:val="auto"/>
              </w:rPr>
            </w:pPr>
          </w:p>
        </w:tc>
      </w:tr>
      <w:tr>
        <w:trPr>
          <w:trHeight w:val="297"/>
        </w:trPr>
        <w:tc>
          <w:tcPr>
            <w:tcW w:w="2960" w:type="dxa"/>
            <w:vAlign w:val="bottom"/>
          </w:tcPr>
          <w:p>
            <w:pPr>
              <w:spacing w:after="0"/>
              <w:rPr>
                <w:sz w:val="24"/>
                <w:szCs w:val="24"/>
                <w:color w:val="auto"/>
              </w:rPr>
            </w:pPr>
          </w:p>
        </w:tc>
        <w:tc>
          <w:tcPr>
            <w:tcW w:w="7180" w:type="dxa"/>
            <w:vAlign w:val="bottom"/>
            <w:gridSpan w:val="2"/>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share or per share data)</w:t>
            </w:r>
          </w:p>
        </w:tc>
        <w:tc>
          <w:tcPr>
            <w:tcW w:w="1100" w:type="dxa"/>
            <w:vAlign w:val="bottom"/>
          </w:tcPr>
          <w:p>
            <w:pPr>
              <w:spacing w:after="0"/>
              <w:rPr>
                <w:sz w:val="24"/>
                <w:szCs w:val="24"/>
                <w:color w:val="auto"/>
              </w:rPr>
            </w:pPr>
          </w:p>
        </w:tc>
      </w:tr>
      <w:tr>
        <w:trPr>
          <w:trHeight w:val="513"/>
        </w:trPr>
        <w:tc>
          <w:tcPr>
            <w:tcW w:w="29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71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667,936</w:t>
            </w: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6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(233,213)</w:t>
            </w: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7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2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67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436,807</w:t>
            </w:r>
          </w:p>
        </w:tc>
      </w:tr>
      <w:tr>
        <w:trPr>
          <w:trHeight w:val="20"/>
        </w:trPr>
        <w:tc>
          <w:tcPr>
            <w:tcW w:w="29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annual impairment testing of goodwill, which is performed in the fourth quarter of each fiscal year, the Company continuously monitors for events and circumstances that could negatively impact the key assumptions used in determining fair value and therefore would require interim impairment testing, including long-term revenue growth projections, profitability, discount rates, volatility in the Company's market capitalization and general industry, market and macroeconomic conditions. During the three months ended March 31, 2025 (Successor), the Company recorded a $233,213 non-deductible, non-cash goodwill impairment charge within the condensed consolidated statements of operations and comprehensive income (loss) due to sustained decreases in the Company’s publicly quoted share price and market capitalization, which were, at least in part, sensitive to the general downward volatility experienced in the stock market during late February and March.</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March 31, 2025 goodwill impairment testing was performed using the income approach via a discounted cash flow model. The income approach estimates fair value by converting future cash flows to a current amount on the measurement date after taking into consideration marketplace conditions. Assumptions including discount rate and estimated future cash flows had a significant impact to the estimated fair value of the reporting unit.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there are further adverse changes in the Company’s projected cash flows or further changes in key assumptions, including but not limited to an increase in the discount rate and further decline in the Company’s stock price, the Company may be required to record additional non-cash impairment charges to goodwill. Such non-cash charges could have a material adverse effect on the Company’s condensed consolidated statements of operations and comprehensive income (loss) and condensed consolidated balance sheets in the reporting period of the charge.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3"/>
          </w:tcPr>
          <w:p>
            <w:pPr>
              <w:jc w:val="center"/>
              <w:ind w:right="373"/>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2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left="673"/>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520" w:type="dxa"/>
            <w:vAlign w:val="bottom"/>
          </w:tcPr>
          <w:p>
            <w:pPr>
              <w:spacing w:after="0"/>
              <w:rPr>
                <w:sz w:val="13"/>
                <w:szCs w:val="13"/>
                <w:color w:val="auto"/>
              </w:rPr>
            </w:pPr>
          </w:p>
        </w:tc>
        <w:tc>
          <w:tcPr>
            <w:tcW w:w="14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40" w:type="dxa"/>
            <w:vAlign w:val="bottom"/>
          </w:tcPr>
          <w:p>
            <w:pPr>
              <w:spacing w:after="0"/>
              <w:rPr>
                <w:sz w:val="13"/>
                <w:szCs w:val="13"/>
                <w:color w:val="auto"/>
              </w:rPr>
            </w:pPr>
          </w:p>
        </w:tc>
        <w:tc>
          <w:tcPr>
            <w:tcW w:w="840" w:type="dxa"/>
            <w:vAlign w:val="bottom"/>
            <w:vMerge w:val="restart"/>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520" w:type="dxa"/>
            <w:vAlign w:val="bottom"/>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14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vMerge w:val="restart"/>
          </w:tcPr>
          <w:p>
            <w:pPr>
              <w:jc w:val="right"/>
              <w:ind w:right="173"/>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7"/>
                <w:szCs w:val="7"/>
                <w:color w:val="auto"/>
              </w:rPr>
            </w:pPr>
          </w:p>
        </w:tc>
        <w:tc>
          <w:tcPr>
            <w:tcW w:w="112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vMerge w:val="restart"/>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40" w:type="dxa"/>
            <w:vAlign w:val="bottom"/>
            <w:gridSpan w:val="2"/>
            <w:vMerge w:val="restart"/>
          </w:tcPr>
          <w:p>
            <w:pPr>
              <w:jc w:val="right"/>
              <w:ind w:right="12"/>
              <w:spacing w:after="0" w:line="162"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center"/>
              <w:ind w:right="33"/>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restart"/>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14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Period Remaining</w:t>
            </w:r>
          </w:p>
        </w:tc>
        <w:tc>
          <w:tcPr>
            <w:tcW w:w="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vMerge w:val="restart"/>
          </w:tcPr>
          <w:p>
            <w:pPr>
              <w:jc w:val="right"/>
              <w:ind w:right="173"/>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7"/>
                <w:szCs w:val="7"/>
                <w:color w:val="auto"/>
              </w:rPr>
            </w:pPr>
          </w:p>
        </w:tc>
        <w:tc>
          <w:tcPr>
            <w:tcW w:w="1120" w:type="dxa"/>
            <w:vAlign w:val="bottom"/>
            <w:gridSpan w:val="2"/>
            <w:vMerge w:val="restart"/>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vMerge w:val="restart"/>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7"/>
                <w:szCs w:val="7"/>
                <w:color w:val="auto"/>
              </w:rPr>
            </w:pPr>
          </w:p>
        </w:tc>
        <w:tc>
          <w:tcPr>
            <w:tcW w:w="940" w:type="dxa"/>
            <w:vAlign w:val="bottom"/>
            <w:vMerge w:val="restart"/>
          </w:tcPr>
          <w:p>
            <w:pPr>
              <w:jc w:val="right"/>
              <w:ind w:right="192"/>
              <w:spacing w:after="0" w:line="162" w:lineRule="exact"/>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restart"/>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52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520" w:type="dxa"/>
            <w:vAlign w:val="bottom"/>
            <w:tcBorders>
              <w:bottom w:val="single" w:sz="8" w:color="CCEEFF"/>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17,245</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17,523</w:t>
            </w:r>
          </w:p>
        </w:tc>
        <w:tc>
          <w:tcPr>
            <w:tcW w:w="0" w:type="dxa"/>
            <w:vAlign w:val="bottom"/>
          </w:tcPr>
          <w:p>
            <w:pPr>
              <w:spacing w:after="0"/>
              <w:rPr>
                <w:sz w:val="1"/>
                <w:szCs w:val="1"/>
                <w:color w:val="auto"/>
              </w:rPr>
            </w:pPr>
          </w:p>
        </w:tc>
      </w:tr>
      <w:tr>
        <w:trPr>
          <w:trHeight w:val="27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165,100</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155,643</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160,382</w:t>
            </w:r>
          </w:p>
        </w:tc>
        <w:tc>
          <w:tcPr>
            <w:tcW w:w="0" w:type="dxa"/>
            <w:vAlign w:val="bottom"/>
          </w:tcPr>
          <w:p>
            <w:pPr>
              <w:spacing w:after="0"/>
              <w:rPr>
                <w:sz w:val="1"/>
                <w:szCs w:val="1"/>
                <w:color w:val="auto"/>
              </w:rPr>
            </w:pPr>
          </w:p>
        </w:tc>
      </w:tr>
      <w:tr>
        <w:trPr>
          <w:trHeight w:val="22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finite-lived intangible</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89"/>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4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187,530</w:t>
            </w:r>
          </w:p>
        </w:tc>
        <w:tc>
          <w:tcPr>
            <w:tcW w:w="28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176,750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182,153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intangible assets on the condensed consolidated balance sheets during the Predecessor periods; therefore, no amortization expense was recognized. Amortization expense was $5,403 for the three months ended March 31, 2025 (Successor) and is recorded within General and administrative and Research and development on the condensed consolidated statements of operations and comprehensive income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38"/>
        </w:trPr>
        <w:tc>
          <w:tcPr>
            <w:tcW w:w="9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(excluding the first three months of fiscal year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16,212</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20,073</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78,762</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176,750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Earnout Shares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further discussed in our 2024 Annual Report, upon Closing of the Business Combination, 5,000,000 “Company Earnout Shares” were contingently issuable and 344,828 “Sponsor Earnout Shares” were issued subject to clawback provisions. The Company Earnout Shares and the Sponsor Earnout Shares are collectively referred to as the “Earnout Shares” and are subject to certain vesting provisions.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7, 2025, a total of 344,828 Sponsor Earnout Shares fully vested and were no longer subject to contingencies as the Company’s public stock price had surpassed $11.50 for twenty consecutive days, thereby fulfilling the vesting provision for the Sponsor Earnout Shares. These vesting conditions are not effective on the Company Earnout Shares until 6 months following the Business Combination.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8, 2025, the Board formally recognized the creation of the Refinity subsidiary, thereby meeting the milestone two conditions for the Company Earnout Shares. As such, 2,000,000 shares of Common Stock were issued on February 4, 2025 as a result of the satisfaction of the milestone.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Earnout Shares related to milestone three are liability classified and were fair valued at $7,470 and $14,752 as of March 31, 2025 and December 31, 2024, respectively. The Company recognized a gain of $6,409 in Change in fair value of financial liabilities on the condensed consolidated statements of operations and comprehensive income (loss) for the three months ended March 31, 2025 (Successor).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Warrants</w:t>
            </w:r>
          </w:p>
        </w:tc>
        <w:tc>
          <w:tcPr>
            <w:tcW w:w="21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18"/>
        </w:trPr>
        <w:tc>
          <w:tcPr>
            <w:tcW w:w="5060" w:type="dxa"/>
            <w:vAlign w:val="bottom"/>
          </w:tcPr>
          <w:p>
            <w:pPr>
              <w:spacing w:after="0"/>
              <w:rPr>
                <w:sz w:val="24"/>
                <w:szCs w:val="24"/>
                <w:color w:val="auto"/>
              </w:rPr>
            </w:pPr>
          </w:p>
        </w:tc>
        <w:tc>
          <w:tcPr>
            <w:tcW w:w="2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 Public</w:t>
            </w:r>
          </w:p>
        </w:tc>
        <w:tc>
          <w:tcPr>
            <w:tcW w:w="2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 Private</w:t>
            </w:r>
          </w:p>
        </w:tc>
        <w:tc>
          <w:tcPr>
            <w:tcW w:w="1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Number of WTI</w:t>
            </w:r>
          </w:p>
        </w:tc>
      </w:tr>
      <w:tr>
        <w:trPr>
          <w:trHeight w:val="241"/>
        </w:trPr>
        <w:tc>
          <w:tcPr>
            <w:tcW w:w="506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9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 (Successor)</w:t>
            </w:r>
          </w:p>
        </w:tc>
        <w:tc>
          <w:tcPr>
            <w:tcW w:w="2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11,240,688</w:t>
            </w:r>
          </w:p>
        </w:tc>
        <w:tc>
          <w:tcPr>
            <w:tcW w:w="2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7,146,000</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w:t>
            </w:r>
          </w:p>
        </w:tc>
        <w:tc>
          <w:tcPr>
            <w:tcW w:w="2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March 31, 2025 (Successor)</w:t>
            </w: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11,240,688</w:t>
            </w:r>
          </w:p>
        </w:tc>
        <w:tc>
          <w:tcPr>
            <w:tcW w:w="2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7,146,000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warrants outstanding during the three months ended March 31, 2024 (Predecessor).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equity-classified public warrants were measured at fair value at Closing using the warrant price at Closing and will not be subsequently re-measured. The public warrants will expire on October 2, 2029 or earlier upon redemption or liquidation and are exercisable for $11.50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liability-classified private placement warrants are measured at fair value based on the price of the public warrants (Level 2 fair value measurement). The private placement warrants will expire on October 2, 2029 or earlier upon redemption or liquidation and are exercisable for $11.50 per share. As of March 31, 2025 (Successor) and December 31, 2024 (Predecessor), the fair value of the private placement warrants is $10,653 and $16,793, respectively, and is presented as a current liability in the condensed consolidated balance sheets. For the three months ended March 31, 2025 (Successor), the Company recognized a gain of $6,140 in Change in fair value of financial liabilities on the condensed consolidated statements of operations and comprehensive income (loss).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Warrants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22, 2024, in connection with the WTI Facility, the Company issued warrants (the "WTI Warrants") to the WTI Lenders. The WTI Warrants are considered freestanding financial instruments and are recorded at fair value on the condensed consolidated balance sheets as a warrant liability in the amount of $13,350 and $17,230 as of March 31, 2025 (Successor) and December 31, 2024 (Predecessor), respectively. For the three months ended March 31, 2025 (Successor), the Company recognized a gain of $3,880 in Change in fair value of financial liabilities on the condensed consolidated statements of operations and comprehensive income (loss). The WTI Warrants expire on March 31, 2035. See Note 4. Fair Value for details on the valuation.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Mezzanine and Stockholders' Equity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periods prior to the Business Combination on October 2, 2024, the Predecessor had Class B Preferred Units, Class B-1 Preferred Units, Class A Units and Class C Units issued and outstanding. In connection with the Business Combination, the Successor acquired all membership interests that were in existence for the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authorized to issue 25,000,000 shares of preferred stock with a par value of $0.0001 per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3,000,000 shares of the authorized preferred stock are designated as Series B preferred stock (“Series B Preferred Stock”).</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Series B Preferred Stock is entitled to an 8% annual rate dividend. On March 19, 2025, the Company distributed 21,808 shares of Series B Preferred Stock to represent $218 in cumulative dividends for Series B Preferred Stock, covering the period from the initial issue date, as defined in the Certificate of Designation, to December 31, 2024, as a payment in kind at the specified rate. As a result, the Company had a total of 1,118,808 shares of Series B Preferred Stock issued and outstanding as of March 31, 2025. As of March 31, 2025, the Company accrued $217 for the 8% dividend in the Obligation to issue equity on the condensed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2025, 5,000,000 shares of the authorized preferred stock are designated as series C preferred stock (the “Series C Preferred Stock”). On March 24, 2025, Innventure issued 2,885,848 shares of Series C Preferred Stock at the original issue price for a total amount of $28,858,480. The consideration received by the Company was in the form of cash, services rendered and the cancellation of related party debt. The Series C Preferred Stock is subject to similar terms and conditions as the Series B Preferred Stock and is contingently redeemable for Common Stock and is recorded in mezzanine equity as of March 31, 2025. As a result, the Company had a total of 2,885,848 shares of Series C Preferred Stock issued and outstanding as of March 31, 2025. As of March 31, 2025, the Company accrued $44 for the 8% dividend in the Obligation to issue equity on the condensed consolidated balance sheets.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250,000,000 shares of Common Stock with a par value of $0.0001 per share. Holders of the Company’s Common Stock are entitled to one vote for each share. As of March 31, 2025 there were 47,103,800 shares of Common Stock issued and outstanding.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2023, we entered into the SEPA with Yorkville. This agreement became effective concurrently with the Business Combination.</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SEPA, the Company shall have the right, but not the obligation, to sell to Yorkville up to $75,000 of Common Stock, par value $0.0001 per share, at the Company’s request any time during the commitment period commencing on the Closing and continuing for a term of 3 years (“Purchased Put Option”).</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SEPA will automatically terminate on the earlier to occur of (i) November 01, 2027 and (ii) the date on which Yorkville shall have made payment of advances pursuant to the SEPA for Common Stock equal to the commitment amount of $75,000.</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(Successor), the Company sold 73,993 shares of Common Stock under the SEPA, raising $931 which is classified within Issuance of common shares, net of issuance costs in the consolidated statements of changes in mezzanine and stockholders' equity (deficit). As of March 31, 2025, the maximum remaining availability under the SEPA is approximately $72,000.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 Shares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Company entered into an agreement to receive financial advisory services in exchange for equity. Upon Closing of the Business Combination, the Company became liable for $441 of Common Stock divided by the conversion price of $10.87, resulting in 40,552 shares. In connection with the closing of the WTI Facility mentioned in Note 5. Borrowings, the Company became liable for $500 worth of Common Stock calculated as the volume-weighted average price of the Common Stock over the five consecutive trading days ending on the trading day immediately preceding November 15, 2024, $11.13, for a total of 44,919 shares. On February 3, 2025, the Company has issued the aggregate 85,471 shares of Common Stock for services rendered.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2023, the Company entered into an agreement to receive financial advisory services in exchange for equity. Upon Closing of the Business Combination, the Company was obligated to pay a success fee in cash in an amount of $600 and equity success fee in $3,000 of Series C Preferred Stock at $10.00 per share. On March 24, 2025, the Company issued the 300,000 shares of Series C Preferred Stock for services rendered.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and Incentive Compensation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(Successor), the Company recognized compensation costs related to the restricted stock units of $3,916 in the condensed consolidated statements of operations and comprehensive income (loss). As of March 31, 2025, the Company had $19,325 in stock-based compensation expense remaining to be recognized over approximately 1.5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2025, the Company issued 140,000 stock options to two independent contractors through two separate agreements. The stock options were granted with an exercise price of $8.84. Using the Black-Scholes option pricing model, the estimated grant date fair value of stock options was $4.97 per option based on an expected volatility of 56%, an expected option term of approximately 5.9 years, and risk-free rate of return of 4.06%. The stock options have a maximum contractual life of 10 years from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(Successor), the Company recognized compensation costs related to the stock options of $1,027 in the condensed consolidated statements of operations and comprehensive income (loss). As of March 31, 2025, the Company had $5,732 in compensation expense remaining to be recognized over approximately 1.7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2024, the Company issued 30,000 cash-settled stock appreciation rights (“SARs”) which were recognized at their fair value as of the date of the grant. These SARs entitle participants to cash equal to the value of the appreciation in Accelsius’ stock price over the base price established of $12.175. These cash-settled SARs are liability classified and are revalued at each reporting period. The SARs were valued using the Black-Scholes option-pricing model based on an expected volatility of 70%, an expected term of approximately 1.75 years, and risk-free rate of return of 4%. The Company recognized a decrease in compensation expense in the amount of $442 in relation to the change in fair value of the cash-settled SARs for the three months ended March 31, 2025 (Successor).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Subsidiary Equity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Accelsius Subsidiary Equity Plan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(Successor) there were no Class C units granted under the Accelsius Subsidiary Equity Plan. During the three months ended March 31, 2024 (Predecessor), there were 129,700 Class C units granted with a grant date fair value per share of $4.41.</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compensation costs related to the Accelsius Subsidiary Equity Plan of $898 and $345 for the three months ended March 31, 2025 (Successor) and the three months ended March 31, 2024 (Predecessor), respectively, in the condensed consolidated statements of operations and comprehensive income (loss). As of March 31, 2025, the Company had $6,673 in unit-based compensation expense remaining to be recognized over approximately 2.21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(Successor), the Company recognized income tax benefits of $1,399. During the three months ended March 31, 2024 (Predecessor), no income tax provision or expense was recorded.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interim tax reporting, the Company estimated one single effective tax rate for tax jurisdictions not subject to a valuation allowance, which is applied to the year-to-date pre-tax book loss. Tax effects of significant unusual or infrequently occurring items are excluded from the estimated annual effective tax rate calculation and recognized in the interim period in which they occur. The effective tax rate for the three months ended March 31, 2025 (Successor) was a benefit of 0.55% driven primarily by the impact of the goodwill impairment, which is not deductible for tax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Loss Per Share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common share when shares are issued that meet the definition of participating securities. The two-class method requires income available to common shareholders for the period to be allocated between common shares and participating securities based upon their respective rights to receive dividends as if all income for the period had been distributed. The two-class method also requires losses for the period to be allocated between common shares and participating securities based on their respective rights if the participating security contractually participates in losses. As holders of Series B Preferred Stock, Series C Preferred Stock and WTI Warrants, which are determined to be participating securities, do not have a contractual obligation to fund losses, undistributed net losses are not allocated to them for purposes of the loss per share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historical structure of the Predecessor, the Company determined that the calculation of earnings per membership unit results in values that are not a valuable metric to users of these consolidated financial statements. Therefore, earnings per share (“EPS”) information is omitted for the Predecessor periods.</w:t>
      </w:r>
    </w:p>
    <w:p>
      <w:pPr>
        <w:spacing w:after="0" w:line="122"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color w:val="auto"/>
        </w:rPr>
        <w:t>Presented in the table below is a reconciliation of the numerator and denominator for the EPS calculations for the three months ended March 31, 2025 (Successor):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Successor</w:t>
            </w:r>
          </w:p>
        </w:tc>
      </w:tr>
      <w:tr>
        <w:trPr>
          <w:trHeight w:val="214"/>
        </w:trPr>
        <w:tc>
          <w:tcPr>
            <w:tcW w:w="9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9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7"/>
        </w:trPr>
        <w:tc>
          <w:tcPr>
            <w:tcW w:w="9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7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Innventure, Inc., shareholders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(142,997)</w:t>
            </w:r>
          </w:p>
        </w:tc>
      </w:tr>
      <w:tr>
        <w:trPr>
          <w:trHeight w:val="27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Cumulative earnings to participating securities</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6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loss for participating securities</w:t>
            </w:r>
          </w:p>
        </w:tc>
        <w:tc>
          <w:tcPr>
            <w:tcW w:w="10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(143,256)</w:t>
            </w:r>
          </w:p>
        </w:tc>
      </w:tr>
      <w:tr>
        <w:trPr>
          <w:trHeight w:val="27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Undistributed loss attributable to participating securities</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 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(143,256)</w:t>
            </w:r>
          </w:p>
        </w:tc>
      </w:tr>
      <w:tr>
        <w:trPr>
          <w:trHeight w:val="20"/>
        </w:trPr>
        <w:tc>
          <w:tcPr>
            <w:tcW w:w="9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3"/>
        </w:trPr>
        <w:tc>
          <w:tcPr>
            <w:tcW w:w="9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9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units outstanding, basic and diluted</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46,253</w:t>
            </w:r>
          </w:p>
        </w:tc>
      </w:tr>
      <w:tr>
        <w:trPr>
          <w:trHeight w:val="264"/>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shareholders, 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was the same for each period presented as the inclusion of all potential Common Stock outstanding would have been anti-dilutive.</w:t>
      </w:r>
    </w:p>
    <w:p>
      <w:pPr>
        <w:spacing w:after="0" w:line="1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potential common stock outstanding that was excluded from the computation of diluted net loss per share of Common Stock for the periods presented because including them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40" w:type="dxa"/>
            <w:vAlign w:val="bottom"/>
          </w:tcPr>
          <w:p>
            <w:pPr>
              <w:spacing w:after="0"/>
              <w:rPr>
                <w:sz w:val="20"/>
                <w:szCs w:val="20"/>
                <w:color w:val="auto"/>
              </w:rPr>
            </w:pPr>
          </w:p>
        </w:tc>
        <w:tc>
          <w:tcPr>
            <w:tcW w:w="18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Successor</w:t>
            </w:r>
          </w:p>
        </w:tc>
      </w:tr>
      <w:tr>
        <w:trPr>
          <w:trHeight w:val="237"/>
        </w:trPr>
        <w:tc>
          <w:tcPr>
            <w:tcW w:w="944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7"/>
        </w:trPr>
        <w:tc>
          <w:tcPr>
            <w:tcW w:w="94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11,240,688</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7,146,000</w:t>
            </w:r>
          </w:p>
        </w:tc>
      </w:tr>
      <w:tr>
        <w:trPr>
          <w:trHeight w:val="27"/>
        </w:trPr>
        <w:tc>
          <w:tcPr>
            <w:tcW w:w="94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Warrants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7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895,047</w:t>
            </w:r>
          </w:p>
        </w:tc>
      </w:tr>
      <w:tr>
        <w:trPr>
          <w:trHeight w:val="27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C Preferred Stock</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3,733,547</w:t>
            </w:r>
          </w:p>
        </w:tc>
      </w:tr>
      <w:tr>
        <w:trPr>
          <w:trHeight w:val="27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options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1,115,409</w:t>
            </w:r>
          </w:p>
        </w:tc>
      </w:tr>
      <w:tr>
        <w:trPr>
          <w:trHeight w:val="27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2,036,476</w:t>
            </w:r>
          </w:p>
        </w:tc>
      </w:tr>
      <w:tr>
        <w:trPr>
          <w:trHeight w:val="234"/>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320,000</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more fully described in Note 5. Borrowings, the Company has various notes with affiliates, including short-term notes with three separate related parties which were settled on March 20, 2025. In addition, the Company had a convertible note to the ESG Fund as part of the 2025 Notes which was converted during the three months ended March 31, 2024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Directors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more fully described in Note 12. Stock-based Compensation, the Company issued various equity awards to related parties throughout 2024. On December 9, 2024, the Company issued 1,246,722 restricted stock units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(“RSUs”) with a grant date fair value of $15,210 and 590,163 stock options with a grant date fair value of $3,913 to a cumulative of eight directors. On December 31, 2024, the Company issued 200,000 SARs with a grant date fair value of $7,820 to four directors and former directors. On March 22, 2024, the Company issued 100,000 Class C Units with a grant date fair value of $441 to one director under the Accelsius Subsidiary Equity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 ESG Fund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more fully described in Note 2. Accounting Policies in our 2024 Annual Report, the Company earns a 1-2% management fee for administrative, finance and accounting, and other back-office functions from the ESG Fund. Management fees earned from the ESG Fund were $196 for the three months ended March 31, 2025 (Successor), and $197 for the three months ended March 31, 2024 (Predecessor), which is recorded as Revenue in the condensed consolidated statements of operations and comprehensive income (loss).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2021, the Company entered into a purchase option agreement with the ESG Fund to sell 145,161 shares of PureCycle Technologies, Inc. (“PCT”) common stock with an exercise price of $1. The option period would have expired on July 22, 2024 and the Company measured the derivative liability at fair value, as further described in Note 4. Fair Value. The option was exercised in March 2022 and the shares are subject to the lock-up provisions. The liability due to the ESG Fund was derecognized as a result of the Business Combination.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AeroFlexx</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24, 2025, the Company issued 578,294 shares of Series C Preferred Stock to settle AeroFlexx’s debt with a related party. The Company considers the stock issuance to be an investment in AeroFlexx of $5,783 which was recorded in the condensed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PCT Guaranty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$0 and total interest paid is $0. As of March 31, 2025 (Successor) and December 31, 2024 (Predecessor), there was no principal outstanding under the guaranty.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Agreement Contingent Fees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2022, the Company entered into two agreements with an MNC to purchase in-process research and development consisting of patents, technology, and knowledge transfer related to cooling technology for critical electronic equipment in a transaction that was determined to be an asset acquisition.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the agreements, the Company is required to make minimum installment payments, as disclosed below, for each year of the agreement through February 1, 2040. Each installment payment shall be credited towards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set off against any royalty payments (described below) which may become due. As such, these installment payments serve as minimum amounts due to the MNC each calendar year.</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Minimum royalties included in Patent installment payables on the condensed consolidated balance sheets are due as follows: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8"/>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13,075</w:t>
            </w: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committed to make royalty payments on direct revenue generated from the subject technology and indirect revenue generated including additional incentives based on the volume of units sold at percentage rates in the single digits to mid-teens as defined within the respective agreement. Each year the Company will pay such royalties at the higher of: (i) the minimum amount due (noted in the table above) and (ii) the royalty calculated amount based on revenue and units sold.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Royalty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12, 2024, the Company entered into a license agreement (the “Technology License”) with a third party to obtain exclusive rights to use certain know-how, patents, and data relating to processes for the gasification of plastic waste (the “Gasification Technology”). Ownership of the Gasification Technology will transfer to the Company for a fee of $500 contingent upon achievement of a commercial milestone, which is not yet probable.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committed to pay a semi-annual fee of $65 until ownership transfers or the Gasification Technology is no longer licensed, which is accrued on a monthly basis. During the three months ended March 31, 2025 (Successor), $33 related to the Gasification Technology was recognized within General and administrative expense in the condensed consolidated statements of operations and comprehensive income (loss).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committed to pay annual royalties based on Refinity-related gross sales and licensing revenue starting in 2025. As of March 31, 2025, no royalty payments were made to the third party.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Framework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22, 2025, Refinity entered into the Framework Agreement (“Framework Agreement”) with a third party to obtain research services focusing on the further development and optimization of the Gasification Technology.</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Refinity agreed to pay a minimum fee of €2,000 for the period beginning January 22, 2025 and ending April 30, 2026 (“Year 1”), and €3,000 for the period beginning May 1, 2026 and ending April 30, 2027 (“Year 2”); provided that, if the third party is unable to provide all of the services contemplated to be provided during Year 1 due to its resource constrains, any unused portion of the minimum fee for Year 1 will be deferred to Year 2 and added to the Year 2 minimum fee. Expenses for services from contracts under the Framework Agreement are recognized as incurred and are applied to the minimum fee.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Business Segment Data</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Chief Executive Officer is the Chief Operating Decision Maker (“CODM”) of the Company. The CODM makes operating decisions, allocates resources and assesses performance based on review of historical and potential future product sales, operating expenses, and net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information utilized by the CODM to operate the Company, there is one operating segment and reportable segment, Technology. The Technology segment includes the business activities of Accelsius, a consolidated subsidiary focused on development and manufacture of data center cooling products. Other components of the Company’s consolidated information primarily include operations relating to the original platform business, service activities, Refinity, and equity method investment activities (“Other”).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Technology segment for the three months ended March 31, 2025 (Successor) and the three months ended March 31, 2024 (Predecessor). The information includes the significant expense categories and amounts regularly provided to the CODM for the reportable segment, which may reflect a different presentation than amounts presented elsewhere in the condensed consolidated financial statements. Inter-segment transactions are not eliminated from segment results when management considers those transactions in assessing the results of the Technology segment.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174"/>
        </w:trPr>
        <w:tc>
          <w:tcPr>
            <w:tcW w:w="79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30"/>
              <w:spacing w:after="0" w:line="174"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30"/>
              <w:spacing w:after="0" w:line="174" w:lineRule="exact"/>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184"/>
        </w:trPr>
        <w:tc>
          <w:tcPr>
            <w:tcW w:w="7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ended March 31,</w:t>
            </w:r>
          </w:p>
        </w:tc>
      </w:tr>
      <w:tr>
        <w:trPr>
          <w:trHeight w:val="229"/>
        </w:trPr>
        <w:tc>
          <w:tcPr>
            <w:tcW w:w="79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Employee costs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29"/>
        </w:trPr>
        <w:tc>
          <w:tcPr>
            <w:tcW w:w="7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Facilities, equipment &amp; supplies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233,213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244,314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6,129</w:t>
            </w:r>
          </w:p>
        </w:tc>
      </w:tr>
      <w:tr>
        <w:trPr>
          <w:trHeight w:val="256"/>
        </w:trPr>
        <w:tc>
          <w:tcPr>
            <w:tcW w:w="79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(244,309)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(6,129)</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Represents depreciation not already included in Cost of sales.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Other - change in fair value of financial liabilities, loss on conversion of promissory notes, travel and other miscellaneous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reportable segment to amounts reflected in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174"/>
        </w:trPr>
        <w:tc>
          <w:tcPr>
            <w:tcW w:w="79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30"/>
              <w:spacing w:after="0" w:line="174"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30"/>
              <w:spacing w:after="0" w:line="174" w:lineRule="exact"/>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184"/>
        </w:trPr>
        <w:tc>
          <w:tcPr>
            <w:tcW w:w="7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ended March 31,</w:t>
            </w:r>
          </w:p>
        </w:tc>
      </w:tr>
      <w:tr>
        <w:trPr>
          <w:trHeight w:val="229"/>
        </w:trPr>
        <w:tc>
          <w:tcPr>
            <w:tcW w:w="7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Elimination of management services provided to Technology</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r>
      <w:tr>
        <w:trPr>
          <w:trHeight w:val="250"/>
        </w:trPr>
        <w:tc>
          <w:tcPr>
            <w:tcW w:w="7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1,762</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w:t>
            </w:r>
          </w:p>
        </w:tc>
      </w:tr>
      <w:tr>
        <w:trPr>
          <w:trHeight w:val="250"/>
        </w:trPr>
        <w:tc>
          <w:tcPr>
            <w:tcW w:w="7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r>
      <w:tr>
        <w:trPr>
          <w:trHeight w:val="250"/>
        </w:trPr>
        <w:tc>
          <w:tcPr>
            <w:tcW w:w="7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Depreciation and Amortization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5,548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50"/>
        </w:trPr>
        <w:tc>
          <w:tcPr>
            <w:tcW w:w="7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(244,309)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(253,674)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(7,526)</w:t>
            </w:r>
          </w:p>
        </w:tc>
      </w:tr>
      <w:tr>
        <w:trPr>
          <w:trHeight w:val="250"/>
        </w:trPr>
        <w:tc>
          <w:tcPr>
            <w:tcW w:w="7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Capital Expenditures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640</w:t>
            </w:r>
          </w:p>
        </w:tc>
      </w:tr>
    </w:tbl>
    <w:p>
      <w:pPr>
        <w:spacing w:after="0" w:line="238" w:lineRule="exact"/>
        <w:rPr>
          <w:sz w:val="20"/>
          <w:szCs w:val="20"/>
          <w:color w:val="auto"/>
        </w:rPr>
      </w:pPr>
    </w:p>
    <w:p>
      <w:pPr>
        <w:ind w:right="1060"/>
        <w:spacing w:after="0" w:line="406" w:lineRule="auto"/>
        <w:rPr>
          <w:sz w:val="20"/>
          <w:szCs w:val="20"/>
          <w:color w:val="auto"/>
        </w:rPr>
      </w:pPr>
      <w:r>
        <w:rPr>
          <w:rFonts w:ascii="Times New Roman" w:cs="Times New Roman" w:eastAsia="Times New Roman" w:hAnsi="Times New Roman"/>
          <w:sz w:val="18"/>
          <w:szCs w:val="18"/>
          <w:color w:val="auto"/>
        </w:rPr>
        <w:t xml:space="preserve">All long-lived assets are located entirely in the United States. Segment assets are not reviewed by the CODM and therefore are not disclosed. </w:t>
      </w:r>
      <w:r>
        <w:rPr>
          <w:rFonts w:ascii="Times New Roman" w:cs="Times New Roman" w:eastAsia="Times New Roman" w:hAnsi="Times New Roman"/>
          <w:sz w:val="18"/>
          <w:szCs w:val="18"/>
          <w:b w:val="1"/>
          <w:bCs w:val="1"/>
          <w:color w:val="auto"/>
        </w:rPr>
        <w:t>Note 18. Subsequent Events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the condensed consolidated financial statements and related disclosures for the period ended March 31, 2025, management has evaluated events through May 15, 2025, which is the date the condensed consolidated financial statements were available to be issued. Events occurring after March 31, 2025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or per share data)</w:t>
      </w:r>
    </w:p>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14, 2025, the Company issued the first tranche of Convertible Debentures with a principal amount of $20,000 in accordance with the Securities Purchase Agreement further described in Note 5. Borrowings. These Convertible Debentures resulted in gross proceeds to the Company of approximately $18,000, representing an original issue discount of 10%.</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14, 2025, the Company issued warrants to purchase up to 300,000 shares of Common Stock to the WTI Lenders in connection with the securities purchase agreement related to the issuance and sale of Convertible Debentures, as described in Note 5. Borrowings. These warrants serve as consideration for the WTI Lenders’ consent to the Convertible Debentures. The warrants have an exercise price of $0.01 per share and are exercisable until March 31, 2035, with additional customary rights and protections.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April 16 and May 6, 2025, the Company authorized the conversion of 881,688 shares of Series B Preferred Stock and 2,310,848 shares of Series C Preferred Stock for 1,763,376 and 4,621,696 shares of Common Stock, respectively. Upon conversion, all the converted Series B and Series C Preferred Stock shares were canceled and retired.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part of the Company’s SEPA with Yorkville, on May 2, 2025, the Company sold 44,000 shares of Common Stock to Yorkville for aggregate proceeds of approximately $174. The remaining shares that could be sold to Yorkville are 4,165,314.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15, 2025, the Company issued the second tranche of Convertible Debentures with a principal amount of $10,000 in accordance with the Securities Purchase Agreement further described in Note 5. Borrowings. These Convertible Debentures resulted in gross proceeds to the Company of approximately $9,000, representing an original issue discount of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section to “we”, “us” and “our” refer to the business and operations of Innventure LLC and its consolidated subsidiaries prior to the Business Combination, which became the business of the Company and its subsidiaries following the consummation of the Business Combination. Unless otherwise indicated, all dollar amounts (“$”) are expressed in thousands.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and our predecessor’s, as applicable, unaudited condensed consolidated financial statements and related notes as of March 31, 2025 and for the three months ended March 31, 2025 and 2024 included in Item 1 of this Form 10-Q and our predecessor’s, as applicable, audited consolidated financial statements and related notes as of and for the years ended December 31, 2024 and 2023 included in our Annual Report on Form 10-K for the fiscal year ended December 31, 2024 (“Form 10-K”). This discussion contains forward-looking statements that involve risks, uncertainties and assumptions.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Form 10-Q and in the Form 10-K. Additionally, our historical results are not necessarily indicative of the results that may be expected for any period in the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that we acquire or license from technology innovators, which are typically MNCs with the intent to maximize values for investors and other stakeholders through positive cash flow generated through holding long term positions in our Operating Companies. Refer to Item 1. Business of the Form 10-K for a detailed discussion of our business activities.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allocation of resources and assessment of financial performance by our Chief Executive Officer (who has been determined to be our Chief Operating Decision Maker), we have identified one reportable segment: Technology. The Company’s remaining operations are not reportable segments and are classified as “Other.” “Other” primarily includes the Company’s remaining operations consisting of Innventure’s original platform business, service activities, Refinity and equity method investment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24, 2023, Learn CW and Innventure LLC entered into a Business Combination Agreement with Holdco, LCW Merger Sub and Innventure Merger Sub. On September 30, 2024, the stockholders of Learn CW approved the Business Combination, and the Business Combination closed on the Closing Date.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consequence of the Business Combination, Innventure, Inc. is the successor to an SEC-registered and Nasdaq-listed company which will require Innventure to hire additional personnel and implement procedures and processes to address public company regulatory requirements and customary practices. Innventure is incurring additional annual expenses as a public company for, among other things, directors’ and officers’ liability insurance, director fees and additional internal and external accounting and legal and administrative resources, including increased audit and legal fees.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Innventure’s future results of consolidated operations and financial position may not be comparable to historical results as a result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2025 (Successor) and three months ended March 31, 2024 (Predecessor) (in thousands, except as otherwise noted)</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reflect the application of different bases of accounting as a result of the Business Combination, the tables provided below separate the Company’s results via a black line into two distinct periods as follows: (1) three months ended March 31, 2024 (labeled “Predecessor”) and (2) three months ended March 31, 2025 (labeled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00" w:type="dxa"/>
            <w:vAlign w:val="bottom"/>
          </w:tcPr>
          <w:p>
            <w:pPr>
              <w:spacing w:after="0"/>
              <w:rPr>
                <w:sz w:val="20"/>
                <w:szCs w:val="20"/>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00" w:type="dxa"/>
            <w:vAlign w:val="bottom"/>
          </w:tcPr>
          <w:p>
            <w:pPr>
              <w:spacing w:after="0"/>
              <w:rPr>
                <w:sz w:val="17"/>
                <w:szCs w:val="17"/>
                <w:color w:val="auto"/>
              </w:rPr>
            </w:pPr>
          </w:p>
        </w:tc>
        <w:tc>
          <w:tcPr>
            <w:tcW w:w="166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7"/>
                <w:szCs w:val="17"/>
                <w:color w:val="auto"/>
              </w:rPr>
            </w:pP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000" w:type="dxa"/>
            <w:vAlign w:val="bottom"/>
          </w:tcPr>
          <w:p>
            <w:pPr>
              <w:spacing w:after="0"/>
              <w:rPr>
                <w:sz w:val="20"/>
                <w:szCs w:val="20"/>
                <w:color w:val="auto"/>
              </w:rPr>
            </w:pPr>
          </w:p>
        </w:tc>
        <w:tc>
          <w:tcPr>
            <w:tcW w:w="166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80" w:type="dxa"/>
            <w:vAlign w:val="bottom"/>
          </w:tcPr>
          <w:p>
            <w:pPr>
              <w:spacing w:after="0"/>
              <w:rPr>
                <w:sz w:val="20"/>
                <w:szCs w:val="20"/>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40" w:type="dxa"/>
            <w:vAlign w:val="bottom"/>
          </w:tcPr>
          <w:p>
            <w:pPr>
              <w:spacing w:after="0"/>
              <w:rPr>
                <w:sz w:val="20"/>
                <w:szCs w:val="20"/>
                <w:color w:val="auto"/>
              </w:rPr>
            </w:pP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Cost of sales</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19,676</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148.9 %</w:t>
            </w:r>
          </w:p>
        </w:tc>
        <w:tc>
          <w:tcPr>
            <w:tcW w:w="0" w:type="dxa"/>
            <w:vAlign w:val="bottom"/>
          </w:tcPr>
          <w:p>
            <w:pPr>
              <w:spacing w:after="0"/>
              <w:rPr>
                <w:sz w:val="1"/>
                <w:szCs w:val="1"/>
                <w:color w:val="auto"/>
              </w:rPr>
            </w:pPr>
          </w:p>
        </w:tc>
      </w:tr>
      <w:tr>
        <w:trPr>
          <w:trHeight w:val="233"/>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Sales and marketing</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77.2 %</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6,253</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274.7 %</w:t>
            </w:r>
          </w:p>
        </w:tc>
        <w:tc>
          <w:tcPr>
            <w:tcW w:w="0" w:type="dxa"/>
            <w:vAlign w:val="bottom"/>
          </w:tcPr>
          <w:p>
            <w:pPr>
              <w:spacing w:after="0"/>
              <w:rPr>
                <w:sz w:val="1"/>
                <w:szCs w:val="1"/>
                <w:color w:val="auto"/>
              </w:rPr>
            </w:pPr>
          </w:p>
        </w:tc>
      </w:tr>
      <w:tr>
        <w:trPr>
          <w:trHeight w:val="237"/>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Goodwill impairment</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233,213</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233,213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0" w:type="dxa"/>
            <w:vAlign w:val="bottom"/>
          </w:tcPr>
          <w:p>
            <w:pPr>
              <w:spacing w:after="0"/>
              <w:rPr>
                <w:sz w:val="1"/>
                <w:szCs w:val="1"/>
                <w:color w:val="auto"/>
              </w:rPr>
            </w:pPr>
          </w:p>
        </w:tc>
      </w:tr>
      <w:tr>
        <w:trPr>
          <w:trHeight w:val="237"/>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82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261,422</w:t>
            </w:r>
          </w:p>
        </w:tc>
        <w:tc>
          <w:tcPr>
            <w:tcW w:w="120" w:type="dxa"/>
            <w:vAlign w:val="bottom"/>
            <w:tcBorders>
              <w:top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10,756</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250,666</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2,330.5 %</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(261,198)</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(10,532)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(250,666)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2,380.0 %</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(Expense) and Income</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expense, net</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279.8 %</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gain on investments</w:t>
            </w:r>
          </w:p>
        </w:tc>
        <w:tc>
          <w:tcPr>
            <w:tcW w:w="82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33"/>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 on investments - due to related parties</w:t>
            </w:r>
          </w:p>
        </w:tc>
        <w:tc>
          <w:tcPr>
            <w:tcW w:w="8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fair value of financial liabilities</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16,429</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(3,537.0) %</w:t>
            </w:r>
          </w:p>
        </w:tc>
        <w:tc>
          <w:tcPr>
            <w:tcW w:w="0" w:type="dxa"/>
            <w:vAlign w:val="bottom"/>
          </w:tcPr>
          <w:p>
            <w:pPr>
              <w:spacing w:after="0"/>
              <w:rPr>
                <w:sz w:val="1"/>
                <w:szCs w:val="1"/>
                <w:color w:val="auto"/>
              </w:rPr>
            </w:pPr>
          </w:p>
        </w:tc>
      </w:tr>
      <w:tr>
        <w:trPr>
          <w:trHeight w:val="233"/>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Equity method investment (loss) gain</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(6,756)</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(135,220.0) %</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Realized gain on conversion of available for sale investment</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0" w:type="dxa"/>
            <w:vAlign w:val="bottom"/>
          </w:tcPr>
          <w:p>
            <w:pPr>
              <w:spacing w:after="0"/>
              <w:rPr>
                <w:sz w:val="1"/>
                <w:szCs w:val="1"/>
                <w:color w:val="auto"/>
              </w:rPr>
            </w:pPr>
          </w:p>
        </w:tc>
      </w:tr>
      <w:tr>
        <w:trPr>
          <w:trHeight w:val="233"/>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 on extinguishment of related party debt</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on conversion of promissory notes</w:t>
            </w:r>
          </w:p>
        </w:tc>
        <w:tc>
          <w:tcPr>
            <w:tcW w:w="82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36"/>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Miscellaneous other income</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43"/>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Non-operating Income</w:t>
            </w:r>
          </w:p>
        </w:tc>
        <w:tc>
          <w:tcPr>
            <w:tcW w:w="82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6,125</w:t>
            </w:r>
          </w:p>
        </w:tc>
        <w:tc>
          <w:tcPr>
            <w:tcW w:w="120" w:type="dxa"/>
            <w:vAlign w:val="bottom"/>
            <w:tcBorders>
              <w:top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3,006</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3,119</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103.8 %</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48"/>
        </w:trPr>
        <w:tc>
          <w:tcPr>
            <w:tcW w:w="50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8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(253,674)</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(7,526)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(246,148)</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3,270.6 %</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w:t>
            </w: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Non-redeemable non-controlling interest</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(110,677)</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(108,370)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4,697.4 %</w:t>
            </w:r>
          </w:p>
        </w:tc>
        <w:tc>
          <w:tcPr>
            <w:tcW w:w="0" w:type="dxa"/>
            <w:vAlign w:val="bottom"/>
          </w:tcPr>
          <w:p>
            <w:pPr>
              <w:spacing w:after="0"/>
              <w:rPr>
                <w:sz w:val="1"/>
                <w:szCs w:val="1"/>
                <w:color w:val="auto"/>
              </w:rPr>
            </w:pPr>
          </w:p>
        </w:tc>
      </w:tr>
      <w:tr>
        <w:trPr>
          <w:trHeight w:val="148"/>
        </w:trPr>
        <w:tc>
          <w:tcPr>
            <w:tcW w:w="50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Net Loss Attributable to Innventure, Inc. Stockholders / Innventure</w:t>
            </w:r>
          </w:p>
        </w:tc>
        <w:tc>
          <w:tcPr>
            <w:tcW w:w="8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(142,997)</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(137,778)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2,639.9 %</w:t>
            </w:r>
          </w:p>
        </w:tc>
        <w:tc>
          <w:tcPr>
            <w:tcW w:w="0" w:type="dxa"/>
            <w:vAlign w:val="bottom"/>
          </w:tcPr>
          <w:p>
            <w:pPr>
              <w:spacing w:after="0"/>
              <w:rPr>
                <w:sz w:val="1"/>
                <w:szCs w:val="1"/>
                <w:color w:val="auto"/>
              </w:rPr>
            </w:pPr>
          </w:p>
        </w:tc>
      </w:tr>
      <w:tr>
        <w:trPr>
          <w:trHeight w:val="23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LLC Unitholders</w:t>
            </w:r>
          </w:p>
        </w:tc>
        <w:tc>
          <w:tcPr>
            <w:tcW w:w="8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 net of taxes: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Unrealized loss on available for sale debt securities - related party</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0" w:type="dxa"/>
            <w:vAlign w:val="bottom"/>
          </w:tcPr>
          <w:p>
            <w:pPr>
              <w:spacing w:after="0"/>
              <w:rPr>
                <w:sz w:val="1"/>
                <w:szCs w:val="1"/>
                <w:color w:val="auto"/>
              </w:rPr>
            </w:pPr>
          </w:p>
        </w:tc>
      </w:tr>
      <w:tr>
        <w:trPr>
          <w:trHeight w:val="202"/>
        </w:trPr>
        <w:tc>
          <w:tcPr>
            <w:tcW w:w="5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Reclassification of realized gain on conversion of available for sale</w:t>
            </w: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investments</w:t>
            </w:r>
          </w:p>
        </w:tc>
        <w:tc>
          <w:tcPr>
            <w:tcW w:w="8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loss, net of taxes</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(2,387)</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nil</w:t>
            </w:r>
          </w:p>
        </w:tc>
        <w:tc>
          <w:tcPr>
            <w:tcW w:w="0" w:type="dxa"/>
            <w:vAlign w:val="bottom"/>
          </w:tcPr>
          <w:p>
            <w:pPr>
              <w:spacing w:after="0"/>
              <w:rPr>
                <w:sz w:val="1"/>
                <w:szCs w:val="1"/>
                <w:color w:val="auto"/>
              </w:rPr>
            </w:pPr>
          </w:p>
        </w:tc>
      </w:tr>
      <w:tr>
        <w:trPr>
          <w:trHeight w:val="149"/>
        </w:trPr>
        <w:tc>
          <w:tcPr>
            <w:tcW w:w="50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loss, net of taxes</w:t>
            </w:r>
          </w:p>
        </w:tc>
        <w:tc>
          <w:tcPr>
            <w:tcW w:w="8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(256,061)</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(7,526)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(248,535)</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3,302.4 %</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comprehensive loss attributable to</w:t>
            </w: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Non-redeemable non-controlling interest</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(110,677)</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(108,370)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4,697.4 %</w:t>
            </w:r>
          </w:p>
        </w:tc>
        <w:tc>
          <w:tcPr>
            <w:tcW w:w="0" w:type="dxa"/>
            <w:vAlign w:val="bottom"/>
          </w:tcPr>
          <w:p>
            <w:pPr>
              <w:spacing w:after="0"/>
              <w:rPr>
                <w:sz w:val="1"/>
                <w:szCs w:val="1"/>
                <w:color w:val="auto"/>
              </w:rPr>
            </w:pPr>
          </w:p>
        </w:tc>
      </w:tr>
      <w:tr>
        <w:trPr>
          <w:trHeight w:val="149"/>
        </w:trPr>
        <w:tc>
          <w:tcPr>
            <w:tcW w:w="50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Net Comprehensive Loss Attributable to Innventure, Inc. Stockholders</w:t>
            </w:r>
          </w:p>
        </w:tc>
        <w:tc>
          <w:tcPr>
            <w:tcW w:w="820" w:type="dxa"/>
            <w:vAlign w:val="bottom"/>
            <w:vMerge w:val="restart"/>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(145,384)</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(5,219)</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(140,165)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2,685.7 %</w:t>
            </w:r>
          </w:p>
        </w:tc>
        <w:tc>
          <w:tcPr>
            <w:tcW w:w="0" w:type="dxa"/>
            <w:vAlign w:val="bottom"/>
          </w:tcPr>
          <w:p>
            <w:pPr>
              <w:spacing w:after="0"/>
              <w:rPr>
                <w:sz w:val="1"/>
                <w:szCs w:val="1"/>
                <w:color w:val="auto"/>
              </w:rPr>
            </w:pPr>
          </w:p>
        </w:tc>
      </w:tr>
      <w:tr>
        <w:trPr>
          <w:trHeight w:val="23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Innventure LLC Unitholders</w:t>
            </w: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65"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not meaningful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6" w:name="page37"/>
    <w:bookmarkEnd w:id="3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was $224 for the three months ended March 31, 2025 (Successor) and $224 for the three months ended March 31, 2024 (Predecessor), showing no change period over period. Revenue was consistent as it was substantially comprised of predetermined management fee income period over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sales was $184 for the three months ended March 31, 2025 (Successor) and nil for the three months ended March 31, 2024 (Predecessor), an increase of $184. The increase relates primarily to inventory write-offs.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was $19,676 for the three months ended March 31, 2025 (Successor) and $7,904 for the three months ended March 31, 2024 (Predecessor), an increase of $11,772, or 148.9%. The increase in expenditure was primarily attributed to an increase in professional services, legal fees and consulting fees of $2,000, amortization expense resulting from the intangibles acquired in the Business Combination of $2,240, increased equity based compensation of $5,445. The remaining increase in expenditure was due to increased employee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 was $2,096 for the three months ended March 31, 2025 (Successor) and $1,183 for the three months ended March 31, 2024 (Predecessor), an increase of $913, or 77.2%. The increase was primarily due to increased compensation costs as a result of increased headcount across the business and increases in advertising and marketing-related events and expenses associated with the commercialization phase of the Technology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was $6,253 for the three months ended March 31, 2025 (Successor) and $1,669 for the three months ended March 31, 2024 (Predecessor), an increase of $4,584, or 274.7%. The increase was primarily due to amortization of intangibles in the Technology segment and an increase in new product development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impairment, was $233,213 for the three months ended March 31, 2025 (Successor) and nil for the three months ended March 31, 2024 (Predecessor), an increase of $233,213. The increase was due to sustained decreases in the Company’s publicly quoted share price and market capitalization, which were, at least in part, sensitive to the general downward volatility experienced in the stock market during late February and March.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was $1,538 for the three months ended March 31, 2025 (Successor) and $405 for the three months ended March 31, 2024 (Predecessor), an increase of $1,133, or 279.8%. The increase was primarily due to an increase in interest expense for the WTI Facility and related party notes, partially offset by convertible notes that were converted during the three months ended March 31, 2024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on investments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gain on investments was nil for the three months ended March 31, 2025 (Successor) and $5,189 for the three months ended March 31, 2024 (Predecessor), a decrease of $5,189, over the comparable period for the three months ended March 31, 2024 (Predecessor). The decrease was due to the de-consolidation of certain mezzanine equity as a result of the Business Combination and the gain on investment in PCT owned stock via Class PCTA units during the three months ended March 31, 2024 (Predecessor).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on investments - due to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on investments – due to related parties was nil for the three months ended March 31, 2025 (Successor) and $186 for the three months ended March 31, 2024 (Predecessor), a decrease of $186. The decrease was primarily due to an increase in fair value of liability - PCT stock owed to others for the three months ended March 31, 2024 (Predecessor). The Class PCTA associated liabilities were de-consolidated as a result of the Business Combination.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financial liabilities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liabilities decreased by $16,429 for the three months ended March 31, 2025 (Successor) and increased by $478 for the three months ended March 31, 2024 (Predecessor), a change of $16,907, or 3,537.0%. The increase was primarily due to increases in fair value adjustments for warrants and earnout liabilities.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 (loss) gain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Equity method investment loss was $6,756 for the three months ended March 31, 2025 (Successor) and equity method investment gain was $5 for the three months ended March 31, 2024 (Predecessor), a decrease of $6,761, or 135,220.0%. The loss during the three months ended March 31, 2025 (Successor) represented allocated losses from the ESG Fund and AeroFlexx. The gain during the three months ended March 31, 2024 (Predecessor) was primarily due to an allocated gain from the ESG Fund offset by an allocated loss from investment of AeroFlexx.</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gain on conversion of available for sale investment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Realized gain on conversion of available for sale investment was $1,507 for the three months ended March 31, 2025 (Successor) and nil for the three months ended March 31, 2024 (Predecessor), an increase of $1,507. The increase was due to the partial conversion of the AeroFlexx investment in debt securities resulting in a realized gain during the three months ended March 31, 2025 (Successor).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related party debt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on extinguishment of related party debt was $3,538 for the three months ended March 31, 2025 (Successor) and nil for the three months ended March 31, 2024 (Predecessor), an increase of $3,538. The increase was due to the extinguishment of certain related party debt by issuing Series C Preferred Stock during the three months ended March 31, 2025 (Successor). There was no gain or loss on extinguishment of related party debt for the three months ended March 31, 2024 (Predecessor).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conversion of promissory notes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on conversion of promissory notes was nil for the three months ended March 31, 2025 (Successor) and $1,119 for the three months ended March 31, 2024 (Predecessor), a decrease of $1,119. This was due to the automatic conversion of promissory notes during the three months ended March 31, 2024 (Predecessor) into equity instruments which was treated as an extinguishment thereby generating a loss. There was no equivalent transaction for the three months ended March 31, 2025 (Successor).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Unrealized loss on available for sale debt securities - related party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Unrealized loss on available for sale debt securities - related party, was $880 for the three months ended March 31, 2025 (Successor) and nil for the three months ended March 31, 2024 (Predecessor), an increase of $880. The increase was due to the fair value adjustment to investments in debt securities which are classified as available for sale.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realized gain on conversion of available for sale investments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Reclassification of realized gain on conversion of available for sale investments was $1,507 for the three months ended March 31, 2025 (Successor) and nil for the three months ended March 31, 2024 (Predecessor), an increase of $1,507. The increase was due to the partial conversion of the AeroFlexx investment in debt securities resulting in a realized gain during the three months ended March 31, 2025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Non-redeemable non-controlling interest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attributable to non-redeemable non-controlling interests was $110,677 for the three months ended March 31, 2025 (Successor) and $2,307 for the three months ended March 31, 2024 (Predecessor), an increase of $108,370, or 4,697.4%. This was due to the increase in Accelsius net loss, primarily as a result of goodwill impairment, during the three months ended March 31, 2025 (Successor) as compared to the three months ended March 31, 2024 (Predecessor).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certain financial measures that are not calculated in accordance with generally accepted accounting principles in the U.S. (GAAP) to supplement our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should use caution when comparing our non-GAAP measure to similar metrics used by other companies, as definitions can vary. Adjusted EBITDA should not be considered in isolation or as a substitute for GAAP financial measures. We provide Adjusted EBITDA as supplemental information to enhance the overall understanding of our financial performance.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from Net Loss to EBITDA and Adjusted EBITDA for the specified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169"/>
        </w:trPr>
        <w:tc>
          <w:tcPr>
            <w:tcW w:w="7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1"/>
        </w:trPr>
        <w:tc>
          <w:tcPr>
            <w:tcW w:w="7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5"/>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(253,674)</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r>
      <w:tr>
        <w:trPr>
          <w:trHeight w:val="230"/>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(247,987)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(7,121)</w:t>
            </w:r>
          </w:p>
        </w:tc>
      </w:tr>
      <w:tr>
        <w:trPr>
          <w:trHeight w:val="223"/>
        </w:trPr>
        <w:tc>
          <w:tcPr>
            <w:tcW w:w="71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Transaction and other related costs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r>
      <w:tr>
        <w:trPr>
          <w:trHeight w:val="229"/>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 in fair value of financial liabilities</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9"/>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(4)</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30"/>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Goodwill impairment</w:t>
            </w:r>
            <w:r>
              <w:rPr>
                <w:rFonts w:ascii="Times New Roman" w:cs="Times New Roman" w:eastAsia="Times New Roman" w:hAnsi="Times New Roman"/>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233,213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Loss on extinguishment of related party debt</w:t>
            </w:r>
            <w:r>
              <w:rPr>
                <w:rFonts w:ascii="Times New Roman" w:cs="Times New Roman" w:eastAsia="Times New Roman" w:hAnsi="Times New Roman"/>
                <w:sz w:val="23"/>
                <w:szCs w:val="23"/>
                <w:color w:val="auto"/>
                <w:vertAlign w:val="superscript"/>
              </w:rPr>
              <w:t>(6)</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conversion of promissory notes</w:t>
            </w:r>
          </w:p>
        </w:tc>
        <w:tc>
          <w:tcPr>
            <w:tcW w:w="160" w:type="dxa"/>
            <w:vAlign w:val="bottom"/>
            <w:shd w:val="clear" w:color="auto" w:fill="CCEEFF"/>
          </w:tcPr>
          <w:p>
            <w:pPr>
              <w:spacing w:after="0"/>
              <w:rPr>
                <w:sz w:val="19"/>
                <w:szCs w:val="19"/>
                <w:color w:val="auto"/>
              </w:rPr>
            </w:pPr>
          </w:p>
        </w:tc>
        <w:tc>
          <w:tcPr>
            <w:tcW w:w="19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6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(21,824)</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(1,856)</w:t>
            </w:r>
          </w:p>
        </w:tc>
      </w:tr>
    </w:tbl>
    <w:p>
      <w:pPr>
        <w:spacing w:after="0" w:line="234"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net, includes interest incurred on our various borrowing facilities and the amortization of debt issuance costs.</w:t>
      </w:r>
    </w:p>
    <w:p>
      <w:pPr>
        <w:spacing w:after="0" w:line="17" w:lineRule="exact"/>
        <w:rPr>
          <w:rFonts w:ascii="Times New Roman" w:cs="Times New Roman" w:eastAsia="Times New Roman" w:hAnsi="Times New Roman"/>
          <w:sz w:val="14"/>
          <w:szCs w:val="14"/>
          <w:color w:val="auto"/>
        </w:rPr>
      </w:pPr>
    </w:p>
    <w:p>
      <w:pPr>
        <w:ind w:firstLine="8"/>
        <w:spacing w:after="0" w:line="231" w:lineRule="auto"/>
        <w:tabs>
          <w:tab w:leader="none" w:pos="20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and other related costs – For the three months ended March 31, 2025 (Successor) and three months ended March 31, 2024 (Predecessor), this is comprised of consulting, legal, and other professional fees related to the Business Combination.</w:t>
      </w:r>
    </w:p>
    <w:p>
      <w:pPr>
        <w:jc w:val="both"/>
        <w:ind w:firstLine="8"/>
        <w:spacing w:after="0" w:line="241" w:lineRule="auto"/>
        <w:tabs>
          <w:tab w:leader="none" w:pos="2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financial liabilities – For the three months ended March 31, 2025 (Successor), the change in fair value of financial liabilities primarily consists of the change in fair value of the warrant liability and the earnout liability. For the three months ended March 31, 2024 (Predecessor), this is comprised entirely of the change in fair value of the embedded derivative associated with the convertible notes.</w:t>
      </w:r>
    </w:p>
    <w:p>
      <w:pPr>
        <w:spacing w:after="0" w:line="1" w:lineRule="exact"/>
        <w:rPr>
          <w:rFonts w:ascii="Times New Roman" w:cs="Times New Roman" w:eastAsia="Times New Roman" w:hAnsi="Times New Roman"/>
          <w:sz w:val="14"/>
          <w:szCs w:val="14"/>
          <w:color w:val="auto"/>
        </w:rPr>
      </w:pPr>
    </w:p>
    <w:p>
      <w:pPr>
        <w:jc w:val="both"/>
        <w:ind w:firstLine="8"/>
        <w:spacing w:after="0" w:line="241" w:lineRule="auto"/>
        <w:tabs>
          <w:tab w:leader="none" w:pos="20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based compensation – For the three months ended March 31, 2025 (Successor), stock based compensation primarily consisted of awards in the 2024 Equity and Incentive Plan entered into on October 2, 2024 subsequent to the Business Combination. These awards consisted of Stock Options, Restricted Stock Units, and Stock Appreciation Rights. Further, a portion of this expense was related to share based payment employee incentive plans in existence at Innventure LLC and other subsidiaries. For the three months ended March 31, 2024 (Predecessor), stock based compensation was comprised wholly of share-based payment employee incentive plans in existence at Innventure LLC and other subsidiaries.</w:t>
      </w:r>
    </w:p>
    <w:p>
      <w:pPr>
        <w:spacing w:after="0" w:line="1" w:lineRule="exact"/>
        <w:rPr>
          <w:rFonts w:ascii="Times New Roman" w:cs="Times New Roman" w:eastAsia="Times New Roman" w:hAnsi="Times New Roman"/>
          <w:sz w:val="14"/>
          <w:szCs w:val="14"/>
          <w:color w:val="auto"/>
        </w:rPr>
      </w:pPr>
    </w:p>
    <w:p>
      <w:pPr>
        <w:jc w:val="both"/>
        <w:ind w:firstLine="8"/>
        <w:spacing w:after="0" w:line="241" w:lineRule="auto"/>
        <w:tabs>
          <w:tab w:leader="none" w:pos="20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Goodwill impairment - For the three months ended March 31, 2025 (Successor), the Company recognized a goodwill impairment charge due to sustained decreases in the Company’s publicly quoted share price and market capitalization, which were, at least in part, sensitive to the general downward volatility experienced in the stock market during late February and March. There was no similar goodwill impairment charge for the three months ended March 31, 2024 (Predecessor).</w:t>
      </w:r>
    </w:p>
    <w:p>
      <w:pPr>
        <w:spacing w:after="0" w:line="1" w:lineRule="exact"/>
        <w:rPr>
          <w:rFonts w:ascii="Times New Roman" w:cs="Times New Roman" w:eastAsia="Times New Roman" w:hAnsi="Times New Roman"/>
          <w:sz w:val="14"/>
          <w:szCs w:val="14"/>
          <w:color w:val="auto"/>
        </w:rPr>
      </w:pPr>
    </w:p>
    <w:p>
      <w:pPr>
        <w:ind w:firstLine="8"/>
        <w:spacing w:after="0" w:line="278" w:lineRule="auto"/>
        <w:tabs>
          <w:tab w:leader="none" w:pos="2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on extinguishment of related party debt - For the three months ended March 31, 2025 (Successor), the Company extinguished certain related party debts by issuing Series C Preferred Stock. There was no loss on extinguishment of related party debt for the three months ended March 31, 2024 (Predecessor).</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 (in thousands, except as otherwise noted)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more detail below, management has concluded that there is substantial doubt about our ability to continue as a going concern within one year after the date that these consolidated financial statements included in Item 1. of this Form 10-Q were issued. The condensed consolidated financial statements have been prepared assuming that we will continue as a going concern and, accordingly, do not include any adjustments that might result from the outcome of this uncertainty.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assessing liquidity, we monitor and analyze cash on hand and operating expenditure commitments. Our liquidity needs are to meet working capital requirements and operating expense obligations. To date we have financed our operations primarily through cash flows from investing and financing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components of our liquidity as of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0"/>
                <w:szCs w:val="20"/>
                <w:color w:val="auto"/>
              </w:rPr>
            </w:pPr>
          </w:p>
        </w:tc>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(45,061)</w:t>
            </w:r>
          </w:p>
        </w:tc>
      </w:tr>
    </w:tbl>
    <w:p>
      <w:pPr>
        <w:spacing w:after="0" w:line="26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March 25, 2025, the Company entered into the Securities Purchase Agreement with Yorkville for the issuance and sale of the Convertible Debentures in two tranches with an aggregate principal amount of up to $30,000. On April 14, 2025, the Company issued the first tranche of Convertible Debentures with an aggregate principal amount of $20,000 and received $18,000 of gross proceeds. On May 15, 2025, the Company issued the second tranche of Convertible Debentures to Yorkville with an aggregate principal amount of $10,000 and received $9,000 of gross proceeds.</w:t>
      </w:r>
    </w:p>
    <w:p>
      <w:pPr>
        <w:spacing w:after="0" w:line="204"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Our future liquidity requirements will depend on many factors, including funding required by us and our Operating Companies to (i) support the growth of the business and the current business strategy; (ii) fund working capital, capital expenditures and general corporate expenditures; and (iii) support other business opportunities and expenditures. Based on current projections, we estimate that Innventure and its Operating Companies will require, in addition to cash on hand, at least $50,000 to meet our collective liquidity requirements for the next 12 months and, to grow the Operating Companies in accordance with our current business plan, the Operating Companies will require at least an additional $25,000.</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satisfy our liquidity requirements through cash on hand, cash generated from the operations of our Operating Companies, and the SEPA with Yorkville (maximum remaining availability of approximately $72,000 as of March 31, 2025), as well as proceeds from additional financings completed by us or our Operating Companies. During the three months ended March 31, 2025 (Successor), the Technology segment raised approximately $5,150 of additional equity financing, in comparison to approximately $3,855 during the three months ended March 31, 2024 (Predecessor).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Bridge Financing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20, 2024, the Company entered into unsecured promissory notes with two related parties for principal amounts of $10,000 and $2,000, respectively.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 The principal amounts, loan fees and accrued interest were repayable at the earlier of October 15, 2024 and the first business day following the date of consummation of the Business Combination.</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and interest will accrue at the rate of 15.99% per annum until paid. The amendment was accounted for as a troubled debt restructuring as the Company was provided a concession through a decrease in the effective interest rate. However, no gain or loss was recognized as a result.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per the amended note with the second party, the maturity date was extended to January 31, 2025 and the interest rate was increased to 13.50% per annum. Additionally, $1,000 of the principal amount became due on or around the amendment date.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20, 2025, the Company converted and repaid the aggregate outstanding amount of these unsecured promissory notes with the two related parties described above and issued shares of the Company’s Series C Preferred Stock and paid cash to settle these unsecured promissory notes and all outstanding obligations with these parties. See Note 5. Borrowings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B Preferred Stock</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2025, 3,000,000 shares of the authorized preferred stock are designated as Series B Preferred Stock. Series B Preferred Stock is entitled to an 8% annual rate dividend. On March 19, 2025, the Company distributed 21,808 shares of Series B Preferred Stock to represent $218 in cumulative dividends for Series B Preferred Stock, covering the period from the initial issue date, as defined in the Certificate of Designation, to December 31, 2024, as a payment in kind at the specified rate. See further discussion of the Series B Preferred Stock in Note 11. Mezzanine and Stockholders' Equity within the notes to the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C Preferred Stock</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5,000,000 shares of preferred stock are designated as Series C Preferred Stock. On March 24, 2025, Innventure issued 2,885,848 shares of Series C Preferred Stock at the original issue price for a total amount of $28,858,480. The consideration received by the Company was in the form of cash, services rendered and the cancellation of related party debt. See further discussion of the Series C Preferred Stock in Note 11. Mezzanine and Stockholders' Equity within the notes to the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Standby Equity Purchase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2023, we entered into the SEPA with Yorkville. This agreement became effective concurrently with the Business Combination.</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SEPA, the Company shall have the right, but not the obligation, to sell to Yorkville up to $75,000 of Common Stock, par value $0.0001 per share, at the Company’s request any time during the commitment period commencing on the Closing and continuing for a term of 3 years (“Purchased Put Option”).</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SEPA will automatically terminate on the earlier to occur of (i) November 01, 2027 and (ii) the date on which Yorkville shall have made payment of advances pursuant to the SEPA for Common Stock equal to the commitment amount of $75,000.</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(Successor), the Company sold 73,993 shares of Common Stock under the SEPA, raising $931 which is classified within Issuance of common shares, net of issuance costs in the consolidated statements of changes in mezzanine and stockholders' equity (deficit).</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Debentures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25, 2025, the Company entered into the Securities Purchase Agreement for the issuance and sale of the Convertible Debentures with an aggregate principal amount of up to $30,000. These Convertible Debentures will be convertible into shares of Common Stock under certain circumstances. The Company will issue the aggregate principal amount of Convertible Debentures in two tranches tied to separate reporting and filing requirements. As of March 31, 2025, the Company had not yet met the required reporting and filing requirements and therefore had not issued these Convertible Debentures. On April 14, 2025 and May 15, 2025, the Company issued the first and second tranches of Convertible Debentures with aggregate principal amounts of $20,000 and $10,000, respectively, and gross proceeds of $18,000 and $9,000, respectively. In connection to the Convertible Debentures, on April 14, 2025 the Company issued warrants to purchase up to 300,000 shares of Common Stock to the WTI Lenders. See further discussion in Note 5. Borrowings and Note 18. Subsequent Events within the notes to the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associated with operating, investing and financing activities for the three months ended March 31, 2025 (Successor) and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(Predecessor)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r>
      <w:tr>
        <w:trPr>
          <w:trHeight w:val="178"/>
        </w:trPr>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0"/>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130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r>
      <w:tr>
        <w:trPr>
          <w:trHeight w:val="37"/>
        </w:trPr>
        <w:tc>
          <w:tcPr>
            <w:tcW w:w="5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0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(14,696)</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(7,299)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(74)</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5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r>
      <w:tr>
        <w:trPr>
          <w:trHeight w:val="229"/>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8,206</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(1,953)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 %</w:t>
            </w:r>
          </w:p>
        </w:tc>
      </w:tr>
      <w:tr>
        <w:trPr>
          <w:trHeight w:val="258"/>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(9,744)</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(418)</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(9,326)</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2,231.1 %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-633730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operating activities were $14,696 for the three months ended March 31, 2025 (Successor), as compared to $7,397 for the three months ended March 31, 2024 (Predecessor), an increase of $7,299, or 98.7%. The increase is primarily related to an increase in the Company’s operating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by Investing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were $3,254 for the three months ended March 31, 2025 (Successor), as compared to $3,180 for the three months ended March 31, 2024 (Predecessor), an increase of $74 or 2.3%. The increase is primarily related to additional investment in debt securities to an equity method investee and acquisitions of property, plant and equipment.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provided by financing activities were $8,206 for the three months ended March 31, 2025 (Successor), as compared to $10,159 for the three months ended March 31, 2024 (Predecessor), a decrease of $1,953 or (19.2)%. The decrease is primarily related to less proceeds from the issuance of equity and debt financing.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5. Borrowings to our condensed consolidated financial statements for the three months ended March 31, 2025 (Successor) and three months ended March 31, 2024 (Predecessor) included in Item 1. of this Form 10-Q for a discussion of our indebtedness.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contractual obligations, including payments due by period, as of March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2025 (remaining</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4"/>
        </w:trPr>
        <w:tc>
          <w:tcPr>
            <w:tcW w:w="4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9 months)</w:t>
            </w:r>
          </w:p>
        </w:tc>
        <w:tc>
          <w:tcPr>
            <w:tcW w:w="24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7"/>
                <w:szCs w:val="17"/>
                <w:color w:val="auto"/>
              </w:rPr>
            </w:pPr>
          </w:p>
        </w:tc>
        <w:tc>
          <w:tcPr>
            <w:tcW w:w="8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43"/>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20,425</w:t>
            </w:r>
          </w:p>
        </w:tc>
      </w:tr>
      <w:tr>
        <w:trPr>
          <w:trHeight w:val="27"/>
        </w:trPr>
        <w:tc>
          <w:tcPr>
            <w:tcW w:w="4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royalties</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r>
      <w:tr>
        <w:trPr>
          <w:trHeight w:val="26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8,493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9,163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5,386</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34,160</w:t>
            </w:r>
          </w:p>
        </w:tc>
      </w:tr>
      <w:tr>
        <w:trPr>
          <w:trHeight w:val="20"/>
        </w:trPr>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-710565</wp:posOffset>
            </wp:positionV>
            <wp:extent cx="59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-710565</wp:posOffset>
            </wp:positionV>
            <wp:extent cx="59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-710565</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-710565</wp:posOffset>
            </wp:positionV>
            <wp:extent cx="596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-710565</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experienced recurring losses from operations and negative cash flows from operating activities. In addition, we continue to have an ongoing need to raise significant additional cash from outside sources to sustain our operations and fund our growth plans.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our assessment of going concern considerations in accordance with FASB’s ASU 2014-15, “Disclosures of Uncertainties about an Entity’s Ability to Continue as a Going Concern,” management has determined that these conditions raise substantial doubt about our ability to continue as a going concern within one year after the date of the condensed consolidated financial statements included in Item 1. of this Form 10-Q. If we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3" w:name="page44"/>
    <w:bookmarkEnd w:id="43"/>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are unable to obtain adequate capital from public or private equity or debt financing (including the SEPA), or otherwise generate sufficient revenues from our Operating Companies to support our cost structure within the normal operating cycle of a twelve (12) month period, we may have to implement cost reduction measures or adjust the timing or scope of certain operations at Innventure or certain Innventure Companies, in part or in full, to help manage liquidity. If we raise additional funds through the issuance of additional debt or equity securities, it could result in substantial dilution to our existing stockholders and increased fixed payment obligations, and these securities may have rights senior to those of our Common Stock. See “Item 1A. Risk Factors – Risks Related to Innventure’s Business – There is uncertainty regarding Innventure’s ability to maintain liquidity sufficient to operate its business effectively, which raises substantial doubt about its ability to continue as a going concern.” in our 2024 Annual Report.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 make no assurances that required financings will be available for the amounts needed, or on terms commercially acceptable to us, if at all. If subsequent capital raises or revenues from operations at the Innventure Companies are insufficient to bridge financial and liquidity shortfalls (or both), there would likely be a material adverse effect on our business and financial condition that would materially adversely affect our ability to continue as a going concern.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assuming that we will continue as a going concern and, accordingly, do not include any adjustments that might result from the outcome of this uncertainty.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2. Accounting Policies to our unaudited condensed consolidated financial statements included in this Form 10-Q, there have been no material changes to our critical accounting policies and estimates as compared to the critical accounting policies and estimates disclosed in the 2024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for this reporting period and are not required to provide the information required under this item.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that are filed or submitted under the Exchange Act is accumulated and communicated to management, including the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as ours are designed to do, and management necessarily applies its judgment in evaluating the cost-benefit relationship of possible controls and procedures.</w:t>
      </w:r>
    </w:p>
    <w:p>
      <w:pPr>
        <w:spacing w:after="0" w:line="17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Based on that evaluation, the Chief Executive Officer and the Chief Financial Officer have concluded that the Company's disclosure controls and procedures were not effective at a reasonable level of assurance as of March 31, 2025, because of the material weaknesses in our internal control over financial reporting.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weaknesses identified were as follows:</w:t>
      </w:r>
    </w:p>
    <w:p>
      <w:pPr>
        <w:spacing w:after="0" w:line="200" w:lineRule="exact"/>
        <w:rPr>
          <w:sz w:val="20"/>
          <w:szCs w:val="20"/>
          <w:color w:val="auto"/>
        </w:rPr>
      </w:pPr>
    </w:p>
    <w:p>
      <w:pPr>
        <w:spacing w:after="0" w:line="268" w:lineRule="exact"/>
        <w:rPr>
          <w:sz w:val="20"/>
          <w:szCs w:val="20"/>
          <w:color w:val="auto"/>
        </w:rPr>
      </w:pPr>
    </w:p>
    <w:p>
      <w:pPr>
        <w:jc w:val="both"/>
        <w:ind w:left="660" w:hanging="328"/>
        <w:spacing w:after="0" w:line="24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system of internal controls over financial reporting failed to prevent or detect material adjustments necessary to appropriately present certain complex and significant unusual transactions in accordance with GAAP due primarily to insufficient staffing of personnel possessing the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accounting and financial reporting knowledge and experience to review and monitor third-party consultants;</w:t>
      </w:r>
    </w:p>
    <w:p>
      <w:pPr>
        <w:spacing w:after="0" w:line="225" w:lineRule="exact"/>
        <w:rPr>
          <w:sz w:val="20"/>
          <w:szCs w:val="20"/>
          <w:color w:val="auto"/>
        </w:rPr>
      </w:pPr>
    </w:p>
    <w:p>
      <w:pPr>
        <w:jc w:val="both"/>
        <w:ind w:left="660" w:hanging="328"/>
        <w:spacing w:after="0" w:line="24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system of internal controls over financial reporting did not include necessary information technology general controls including related to (i) periodic user access reviews, (ii) user provisioning and de-provisioning, (iii) restriction of privileged access and (iv) authentication settings;</w:t>
      </w:r>
    </w:p>
    <w:p>
      <w:pPr>
        <w:spacing w:after="0" w:line="19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did not maintain effectively designed and implemented controls over the costing and existence of inventory as of September 30, 2024, including controls over the calculation of such inventory on the weighted average basis;</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made an error in its assessment of the accounting acquirer in conjunction with the transaction, which resulted in an incorrect conclusion that the transaction was an asset acquisition. Additionally, management’s control over the forecast prepared for Accelsius was not effective, resulting in an adjusted forecast for purposes of the purchase accounting;</w:t>
      </w:r>
    </w:p>
    <w:p>
      <w:pPr>
        <w:spacing w:after="0" w:line="19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did not maintain evidence of control procedures over the periodic reconciliation of significant accounts. This included lack of segregation of duties and lack of review.</w:t>
      </w:r>
    </w:p>
    <w:p>
      <w:pPr>
        <w:spacing w:after="0" w:line="176"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18"/>
          <w:szCs w:val="18"/>
          <w:color w:val="auto"/>
        </w:rPr>
        <w:t>We have developed a remediation plan for the material weaknesses that have been identified, including enhancing our complement of resources with accounting and internal control knowledge through additional hiring and/or training to implement and perform additional controls over: (a) the initial and subsequent accounting for complex and significant unusual transactions, (b) general IT controls, (c) segregation of duties and (d) review of accounting treatment related to equity of publicly traded securities. We are currently implementing this plan. When fully implemented and operating effectively, such enhancements are expected to remediate the material weaknesses described above. However, we cannot provide any assurance that these remediation efforts will be successful or that our internal control over financial reporting will be effective as a result of these efforts.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is in the process of establishing and is refining its internal procedures and controls to address the material weaknesses previously disclosed.</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Other than as described above, during the most recent fiscal quarter, there have been no changes in the Company's internal control over financial reporting, as defined in Rules 13a-15(f) and 15d-15(f) under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3"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There are presently no material pending legal proceedings to which the Company (including AeroFlexx, Accelsius and Refinity) is a party or of which any of its property is subject and no material proceedings to which any director, officer, or affiliate of the Company, or any owner of record or beneficially of more than five percent of any class of voting securities of the Company, is an adverse party or has a material interest adverse to the Company, and no such proceedings are known to the Company to be threatened or contemplated against it.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for this reporting period and are not required to provide the information required under this item.</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Sales of Unregistered Equity Securities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January 8, 2025, the Company issued Yorkville 50,000 shares of Common Stock at an effective price of $12.85 per share; on January 23, 2025, the Company issued Yorkville 4,617 shares of Common Stock at an effective price of $12.37 per share; and on January 31, 2025, the Company issued Yorkville 19,376 shares of Common Stock at an effective price of $11.93 per share, each pursuant to the terms of the SEPA. The Company issued each of the foregoing securities in transactions not involving an underwriter and not requiring registration under Section 5 of the Securities Act in reliance on the exemption afforded by Section 4(a)(2) thereof or Regulation D promulgated under the Securities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Repurchases of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2025, none of the Company’s directors or officers (as defined in Rule 16a-1(f) of the Exchange Act)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900" w:type="dxa"/>
            <w:vAlign w:val="bottom"/>
            <w:gridSpan w:val="3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3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900" w:type="dxa"/>
            <w:vAlign w:val="bottom"/>
            <w:gridSpan w:val="3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34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color w:val="auto"/>
                <w:w w:val="97"/>
              </w:rPr>
              <w:t>2.1+</w:t>
            </w:r>
          </w:p>
        </w:tc>
        <w:tc>
          <w:tcPr>
            <w:tcW w:w="9900" w:type="dxa"/>
            <w:vAlign w:val="bottom"/>
            <w:gridSpan w:val="34"/>
          </w:tcPr>
          <w:p>
            <w:pPr>
              <w:spacing w:after="0" w:line="194"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Business Combination Agreement, dated as of October 24, 2023, by and among Learn SPAC Holdco, Inc., Learn CW Investment</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Corporation, LCW Merger Sub, Inc., Innventure LLC and Innventure Merger Sub, LLC (incorporated by reference to Annex A to</w:t>
              </w:r>
            </w:hyperlink>
          </w:p>
        </w:tc>
        <w:tc>
          <w:tcPr>
            <w:tcW w:w="2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7020" w:type="dxa"/>
            <w:vAlign w:val="bottom"/>
            <w:tcBorders>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Innventure, Inc.’s Registration Statement on Form S-4 filed with the SEC on September 6, 2024).</w:t>
              </w:r>
            </w:hyperlink>
          </w:p>
        </w:tc>
        <w:tc>
          <w:tcPr>
            <w:tcW w:w="2320" w:type="dxa"/>
            <w:vAlign w:val="bottom"/>
            <w:gridSpan w:val="9"/>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3.1</w:t>
            </w:r>
          </w:p>
        </w:tc>
        <w:tc>
          <w:tcPr>
            <w:tcW w:w="9900" w:type="dxa"/>
            <w:vAlign w:val="bottom"/>
            <w:gridSpan w:val="34"/>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Amended and Restated Certificate of Incorporation of Innventure, Inc., filed with the Secretary of State of Delaware on October 2, 2024</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(incorporated by reference to Exhibit 3.1 to Innventure Inc.’s Current Report on Form 8-K filed with the SEC on October 9, 2024).</w:t>
              </w:r>
            </w:hyperlink>
          </w:p>
        </w:tc>
        <w:tc>
          <w:tcPr>
            <w:tcW w:w="3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3.2</w:t>
            </w:r>
          </w:p>
        </w:tc>
        <w:tc>
          <w:tcPr>
            <w:tcW w:w="9900" w:type="dxa"/>
            <w:vAlign w:val="bottom"/>
            <w:gridSpan w:val="34"/>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By-laws of Innventure, Inc. (incorporated by reference to Exhibit 3.2 to Innventure Inc.’s Current Report on Form 8-K filed with the</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5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SEC on October 9, 2024).</w:t>
              </w:r>
            </w:hyperlink>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3.3*#</w:t>
            </w:r>
          </w:p>
        </w:tc>
        <w:tc>
          <w:tcPr>
            <w:tcW w:w="7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Certificate of Designation of Series B Preferred Stock, dated October 2, 2024, of Innventure, Inc.</w:t>
            </w:r>
          </w:p>
        </w:tc>
        <w:tc>
          <w:tcPr>
            <w:tcW w:w="2900" w:type="dxa"/>
            <w:vAlign w:val="bottom"/>
            <w:gridSpan w:val="24"/>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3.4</w:t>
            </w:r>
          </w:p>
        </w:tc>
        <w:tc>
          <w:tcPr>
            <w:tcW w:w="9900" w:type="dxa"/>
            <w:vAlign w:val="bottom"/>
            <w:gridSpan w:val="34"/>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Certificate of Designation of Series C Preferred Stock, dated March 24, 2025, of Innventure, Inc. (incorporated by reference to Exhibit</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7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Innventure Inc.’s Current Report on Form 8-K filed with the SEC on March 25, 2025).</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4.1</w:t>
            </w:r>
          </w:p>
        </w:tc>
        <w:tc>
          <w:tcPr>
            <w:tcW w:w="9900" w:type="dxa"/>
            <w:vAlign w:val="bottom"/>
            <w:gridSpan w:val="34"/>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First Convertible Debenture, issued to YA II PN, Ltd., dated April 14, 2024 (incorporated by reference to Exhibit 4.1 to Innventure,</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4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Inc.’s Current Report on Form 8-K dated April 14, 2025).</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4.2^</w:t>
            </w:r>
          </w:p>
        </w:tc>
        <w:tc>
          <w:tcPr>
            <w:tcW w:w="9900" w:type="dxa"/>
            <w:vAlign w:val="bottom"/>
            <w:gridSpan w:val="34"/>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Warrant to Acquire Securities of Innventure, Inc., issued to WTI Fund X, LLC on April 14, 2025 (incorporated by reference to Exhibit</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70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Innventure, Inc.’s Current Report on Form 8-K dated April 14, 2025).</w:t>
              </w:r>
            </w:hyperlink>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gridSpan w:val="5"/>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4.3^</w:t>
            </w:r>
          </w:p>
        </w:tc>
        <w:tc>
          <w:tcPr>
            <w:tcW w:w="9900" w:type="dxa"/>
            <w:vAlign w:val="bottom"/>
            <w:gridSpan w:val="34"/>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Warrant to Acquire Securities of Innventure, Inc., issued to WTI Fund XI, LLC on April 14, 2025 incorporated by reference to Exhibit</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6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Innventure, Inc.’s Current Report on Form 8-K dated April 14, 2025).</w:t>
              </w:r>
            </w:hyperlink>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w:t>
            </w:r>
          </w:p>
        </w:tc>
        <w:tc>
          <w:tcPr>
            <w:tcW w:w="9900" w:type="dxa"/>
            <w:vAlign w:val="bottom"/>
            <w:gridSpan w:val="34"/>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Standby Equity Purchase Agreement, by and between Innventure, Inc. and YA II PN, Ltd., dated October 24, 2023 (incorporated by</w:t>
              </w:r>
            </w:hyperlink>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71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reference to Exhibit 10.1 to Innventure, Inc.’s Current Report on Form 8-K dated March 25, 2025).</w:t>
              </w:r>
            </w:hyperlink>
          </w:p>
        </w:tc>
        <w:tc>
          <w:tcPr>
            <w:tcW w:w="234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10.2^</w:t>
            </w:r>
          </w:p>
        </w:tc>
        <w:tc>
          <w:tcPr>
            <w:tcW w:w="9900" w:type="dxa"/>
            <w:vAlign w:val="bottom"/>
            <w:gridSpan w:val="34"/>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Form of Series C Purchase Agreement for U.S. Investors (incorporated by reference to Exhibit 10.2 to Innventure, Inc.’s Current Report</w:t>
              </w:r>
            </w:hyperlink>
          </w:p>
        </w:tc>
        <w:tc>
          <w:tcPr>
            <w:tcW w:w="0" w:type="dxa"/>
            <w:vAlign w:val="bottom"/>
          </w:tcPr>
          <w:p>
            <w:pPr>
              <w:spacing w:after="0"/>
              <w:rPr>
                <w:sz w:val="1"/>
                <w:szCs w:val="1"/>
                <w:color w:val="auto"/>
              </w:rPr>
            </w:pPr>
          </w:p>
        </w:tc>
      </w:tr>
      <w:tr>
        <w:trPr>
          <w:trHeight w:val="136"/>
        </w:trPr>
        <w:tc>
          <w:tcPr>
            <w:tcW w:w="1340" w:type="dxa"/>
            <w:vAlign w:val="bottom"/>
          </w:tcPr>
          <w:p>
            <w:pPr>
              <w:spacing w:after="0"/>
              <w:rPr>
                <w:sz w:val="11"/>
                <w:szCs w:val="11"/>
                <w:color w:val="auto"/>
              </w:rPr>
            </w:pPr>
          </w:p>
        </w:tc>
        <w:tc>
          <w:tcPr>
            <w:tcW w:w="7220" w:type="dxa"/>
            <w:vAlign w:val="bottom"/>
            <w:tcBorders>
              <w:top w:val="single" w:sz="8" w:color="0000FF"/>
            </w:tcBorders>
            <w:gridSpan w:val="14"/>
          </w:tcPr>
          <w:p>
            <w:pPr>
              <w:spacing w:after="0" w:line="136" w:lineRule="exact"/>
              <w:rPr>
                <w:rFonts w:ascii="Times New Roman" w:cs="Times New Roman" w:eastAsia="Times New Roman" w:hAnsi="Times New Roman"/>
                <w:sz w:val="15"/>
                <w:szCs w:val="15"/>
                <w:color w:val="0000FF"/>
              </w:rPr>
            </w:pPr>
            <w:hyperlink r:id="rId73">
              <w:r>
                <w:rPr>
                  <w:rFonts w:ascii="Times New Roman" w:cs="Times New Roman" w:eastAsia="Times New Roman" w:hAnsi="Times New Roman"/>
                  <w:sz w:val="15"/>
                  <w:szCs w:val="15"/>
                  <w:color w:val="0000FF"/>
                </w:rPr>
                <w:t>on Form 8-K dated March 25, 2025).</w:t>
              </w:r>
            </w:hyperlink>
          </w:p>
        </w:tc>
        <w:tc>
          <w:tcPr>
            <w:tcW w:w="8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10.3^</w:t>
            </w:r>
          </w:p>
        </w:tc>
        <w:tc>
          <w:tcPr>
            <w:tcW w:w="9900" w:type="dxa"/>
            <w:vAlign w:val="bottom"/>
            <w:gridSpan w:val="34"/>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Form of Series C Purchase Agreement for Ex-U.S. Investors (incorporated by reference to Exhibit 10.3 to Innventure, Inc.’s Current</w:t>
              </w:r>
            </w:hyperlink>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3200" w:type="dxa"/>
            <w:vAlign w:val="bottom"/>
            <w:tcBorders>
              <w:top w:val="single" w:sz="8" w:color="0000FF"/>
              <w:bottom w:val="single" w:sz="8" w:color="0000FF"/>
            </w:tcBorders>
            <w:gridSpan w:val="3"/>
          </w:tcPr>
          <w:p>
            <w:pPr>
              <w:spacing w:after="0" w:line="136" w:lineRule="exact"/>
              <w:rPr>
                <w:rFonts w:ascii="Times New Roman" w:cs="Times New Roman" w:eastAsia="Times New Roman" w:hAnsi="Times New Roman"/>
                <w:sz w:val="15"/>
                <w:szCs w:val="15"/>
                <w:color w:val="0000FF"/>
              </w:rPr>
            </w:pPr>
            <w:hyperlink r:id="rId74">
              <w:r>
                <w:rPr>
                  <w:rFonts w:ascii="Times New Roman" w:cs="Times New Roman" w:eastAsia="Times New Roman" w:hAnsi="Times New Roman"/>
                  <w:sz w:val="15"/>
                  <w:szCs w:val="15"/>
                  <w:color w:val="0000FF"/>
                </w:rPr>
                <w:t>Report on Form 8-K dated March 25, 2025).</w:t>
              </w:r>
            </w:hyperlink>
          </w:p>
        </w:tc>
        <w:tc>
          <w:tcPr>
            <w:tcW w:w="3920" w:type="dxa"/>
            <w:vAlign w:val="bottom"/>
            <w:tcBorders>
              <w:top w:val="single" w:sz="8" w:color="0000FF"/>
            </w:tcBorders>
            <w:gridSpan w:val="9"/>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10.4^</w:t>
            </w:r>
          </w:p>
        </w:tc>
        <w:tc>
          <w:tcPr>
            <w:tcW w:w="9900" w:type="dxa"/>
            <w:vAlign w:val="bottom"/>
            <w:gridSpan w:val="34"/>
          </w:tcPr>
          <w:p>
            <w:pPr>
              <w:spacing w:after="0"/>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Securities Purchase Agreement, by and between Innventure, Inc. and YA II PN, Ltd., dated March 25, 2025 (incorporated by reference to</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8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Exhibit 10.1 to Innventure, Inc.’s Current Report on Form 8-K dated March 25, 2025).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10.5</w:t>
            </w:r>
          </w:p>
        </w:tc>
        <w:tc>
          <w:tcPr>
            <w:tcW w:w="9900" w:type="dxa"/>
            <w:vAlign w:val="bottom"/>
            <w:gridSpan w:val="34"/>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Global Guaranty Agreement by Innventure, LLC dated April 14, 2025 (incorporated by reference to Exhibit 10.1 to Innventure, Inc.’s</w:t>
              </w:r>
            </w:hyperlink>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96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Current Report on Form 8-K dated April 14, 2025).</w:t>
              </w:r>
            </w:hyperlink>
          </w:p>
        </w:tc>
        <w:tc>
          <w:tcPr>
            <w:tcW w:w="200" w:type="dxa"/>
            <w:vAlign w:val="bottom"/>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1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10.6</w:t>
            </w:r>
          </w:p>
        </w:tc>
        <w:tc>
          <w:tcPr>
            <w:tcW w:w="982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Registration Rights Agreement, dated April 14, 2025, between Innventure, Inc. and YA II PN, Ltd. (incorporated by reference to Exhibit</w:t>
              </w:r>
            </w:hyperlink>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5560" w:type="dxa"/>
            <w:vAlign w:val="bottom"/>
            <w:tcBorders>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Innventure, Inc.’s Current Report on Form 8-K dated April 14, 2025).</w:t>
              </w:r>
            </w:hyperlink>
          </w:p>
        </w:tc>
        <w:tc>
          <w:tcPr>
            <w:tcW w:w="4340" w:type="dxa"/>
            <w:vAlign w:val="bottom"/>
            <w:gridSpan w:val="27"/>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31.1**</w:t>
            </w:r>
          </w:p>
        </w:tc>
        <w:tc>
          <w:tcPr>
            <w:tcW w:w="83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Rule 13a-14(a) Certification by Gregory W. Haskell, Chief Executive Officer, for the quarter ended March 31, 2025.</w:t>
            </w:r>
          </w:p>
        </w:tc>
        <w:tc>
          <w:tcPr>
            <w:tcW w:w="152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31.2**</w:t>
            </w:r>
          </w:p>
        </w:tc>
        <w:tc>
          <w:tcPr>
            <w:tcW w:w="82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Rule 13a-14(a) Certification by David Yablunosky, Chief Financial Officer, for the quarter ended March 31, 2025.</w:t>
            </w:r>
          </w:p>
        </w:tc>
        <w:tc>
          <w:tcPr>
            <w:tcW w:w="168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32.1**</w:t>
            </w:r>
          </w:p>
        </w:tc>
        <w:tc>
          <w:tcPr>
            <w:tcW w:w="82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Section 1350 Certification by Gregory W. Haskell, Chief Executive Officer, for the quarter ended March 31, 2025.</w:t>
            </w:r>
          </w:p>
        </w:tc>
        <w:tc>
          <w:tcPr>
            <w:tcW w:w="166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32.2**</w:t>
            </w:r>
          </w:p>
        </w:tc>
        <w:tc>
          <w:tcPr>
            <w:tcW w:w="80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Section 1350 Certification by David Yablunosky, Chief Financial Officer, for the quarter ended March 31, 2025.</w:t>
            </w:r>
          </w:p>
        </w:tc>
        <w:tc>
          <w:tcPr>
            <w:tcW w:w="182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38"/>
        </w:trPr>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84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w w:val="99"/>
              </w:rPr>
              <w:t>101*</w:t>
            </w:r>
          </w:p>
        </w:tc>
        <w:tc>
          <w:tcPr>
            <w:tcW w:w="1002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The following financial statements from Innventure, Inc.’s Quarterly Report on Form 10-Q for the quarter ended March 31, 2025,</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00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w w:val="99"/>
              </w:rPr>
              <w:t>formatted in Inline XBRL (eXtensible Business Reporting Language): (i) Condensed Consolidated Balance Sheets as of March 31, 2025</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002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w w:val="99"/>
              </w:rPr>
              <w:t>and December 31, 2024; (ii) Condensed Consolidated Statements of Operations and Comprehensive Income (Loss) for the three months</w:t>
            </w: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100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ended March 31, 2025 (Successor), and for the three months ended March 31, 2024 (Predecessor); (iii) Condensed Consolidated</w:t>
            </w: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100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w w:val="99"/>
              </w:rPr>
              <w:t>Statements of Changes in Unitholders’ Deficit for the period December 31, 2023 through March 31, 2024 (Predecessor); (iv) Condensed</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1002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(Deficit) for the period December 31, 2024 through March 31, 2025</w:t>
            </w: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100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(Successor); (v) Condensed Consolidated Statements of Cash Flows for the three months ended March 31, 2025 (Successor), and the</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0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three months ended March 31, 2024 (Predecessor); and (vi) Notes to Condensed Consolidated Financial Statements.</w:t>
            </w:r>
          </w:p>
        </w:tc>
        <w:tc>
          <w:tcPr>
            <w:tcW w:w="0" w:type="dxa"/>
            <w:vAlign w:val="bottom"/>
          </w:tcPr>
          <w:p>
            <w:pPr>
              <w:spacing w:after="0"/>
              <w:rPr>
                <w:sz w:val="1"/>
                <w:szCs w:val="1"/>
                <w:color w:val="auto"/>
              </w:rPr>
            </w:pPr>
          </w:p>
        </w:tc>
      </w:tr>
      <w:tr>
        <w:trPr>
          <w:trHeight w:val="238"/>
        </w:trPr>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104*</w:t>
            </w:r>
          </w:p>
        </w:tc>
        <w:tc>
          <w:tcPr>
            <w:tcW w:w="10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1"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58"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exhibits have been omitted pursuant to Item 601(b)(2) of Regulation S-K. The registrant agrees to furnish supplementally a copy of any omitted schedule or exhibit to the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SEC upon request.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Corrected version of exhibit previously filed as Exhibit 3.3 to the registrant's Annual Report on Form 10-K filed with the SEC on April 14, 2025.</w:t>
      </w:r>
    </w:p>
    <w:p>
      <w:pPr>
        <w:spacing w:after="0" w:line="1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8" w:name="page49"/>
    <w:bookmarkEnd w:id="48"/>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7940" w:type="dxa"/>
            <w:vAlign w:val="bottom"/>
            <w:gridSpan w:val="4"/>
          </w:tcPr>
          <w:p>
            <w:pPr>
              <w:ind w:left="1840"/>
              <w:spacing w:after="0"/>
              <w:rPr>
                <w:sz w:val="20"/>
                <w:szCs w:val="20"/>
                <w:color w:val="auto"/>
              </w:rPr>
            </w:pPr>
            <w:r>
              <w:rPr>
                <w:rFonts w:ascii="Times New Roman" w:cs="Times New Roman" w:eastAsia="Times New Roman" w:hAnsi="Times New Roman"/>
                <w:sz w:val="18"/>
                <w:szCs w:val="18"/>
                <w:b w:val="1"/>
                <w:bCs w:val="1"/>
                <w:color w:val="auto"/>
              </w:rPr>
              <w:t>INNVENTURE, INC.</w:t>
            </w:r>
          </w:p>
        </w:tc>
      </w:tr>
      <w:tr>
        <w:trPr>
          <w:trHeight w:val="392"/>
        </w:trPr>
        <w:tc>
          <w:tcPr>
            <w:tcW w:w="3280" w:type="dxa"/>
            <w:vAlign w:val="bottom"/>
          </w:tcPr>
          <w:p>
            <w:pPr>
              <w:spacing w:after="0"/>
              <w:rPr>
                <w:sz w:val="24"/>
                <w:szCs w:val="24"/>
                <w:color w:val="auto"/>
              </w:rPr>
            </w:pPr>
          </w:p>
        </w:tc>
        <w:tc>
          <w:tcPr>
            <w:tcW w:w="2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 Gregory W. Haskell</w:t>
            </w:r>
          </w:p>
        </w:tc>
      </w:tr>
      <w:tr>
        <w:trPr>
          <w:trHeight w:val="48"/>
        </w:trPr>
        <w:tc>
          <w:tcPr>
            <w:tcW w:w="32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40" w:type="dxa"/>
            <w:vAlign w:val="bottom"/>
            <w:tcBorders>
              <w:top w:val="single" w:sz="8" w:color="auto"/>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r>
      <w:tr>
        <w:trPr>
          <w:trHeight w:val="237"/>
        </w:trPr>
        <w:tc>
          <w:tcPr>
            <w:tcW w:w="3280" w:type="dxa"/>
            <w:vAlign w:val="bottom"/>
          </w:tcPr>
          <w:p>
            <w:pPr>
              <w:spacing w:after="0"/>
              <w:rPr>
                <w:sz w:val="20"/>
                <w:szCs w:val="20"/>
                <w:color w:val="auto"/>
              </w:rPr>
            </w:pPr>
          </w:p>
        </w:tc>
        <w:tc>
          <w:tcPr>
            <w:tcW w:w="2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Gregory W. Haskell</w:t>
            </w:r>
          </w:p>
        </w:tc>
      </w:tr>
      <w:tr>
        <w:trPr>
          <w:trHeight w:val="270"/>
        </w:trPr>
        <w:tc>
          <w:tcPr>
            <w:tcW w:w="3280" w:type="dxa"/>
            <w:vAlign w:val="bottom"/>
          </w:tcPr>
          <w:p>
            <w:pPr>
              <w:spacing w:after="0"/>
              <w:rPr>
                <w:sz w:val="23"/>
                <w:szCs w:val="23"/>
                <w:color w:val="auto"/>
              </w:rPr>
            </w:pPr>
          </w:p>
        </w:tc>
        <w:tc>
          <w:tcPr>
            <w:tcW w:w="2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526"/>
        </w:trPr>
        <w:tc>
          <w:tcPr>
            <w:tcW w:w="3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r>
      <w:tr>
        <w:trPr>
          <w:trHeight w:val="27"/>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27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Financial Officer and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0"/>
          <w:szCs w:val="20"/>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DESIGNATION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SERIES B PREFERRED STOCK</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FILED IN THE OFFICE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DELAWARE SECRETARY OF STATE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ON OCTOBER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Pursuant to Section 151</w:t>
      </w:r>
    </w:p>
    <w:p>
      <w:pPr>
        <w:spacing w:after="0" w:line="2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Pursuant to Section 151 of the General Corporation Law of the State of Delaware, Innventure, Inc., a corporation duly organized and validly existing under the State of Delaware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does hereby submit the following:</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the Amended and Restated Certificate of Incorporation of the Company (as amended, restated, supplemented or otherwise modified from time to time, the “</w:t>
      </w:r>
      <w:r>
        <w:rPr>
          <w:rFonts w:ascii="Times New Roman" w:cs="Times New Roman" w:eastAsia="Times New Roman" w:hAnsi="Times New Roman"/>
          <w:sz w:val="20"/>
          <w:szCs w:val="20"/>
          <w:u w:val="single" w:color="auto"/>
          <w:color w:val="auto"/>
        </w:rPr>
        <w:t>Certificate of Incorporation</w:t>
      </w:r>
      <w:r>
        <w:rPr>
          <w:rFonts w:ascii="Times New Roman" w:cs="Times New Roman" w:eastAsia="Times New Roman" w:hAnsi="Times New Roman"/>
          <w:sz w:val="20"/>
          <w:szCs w:val="20"/>
          <w:color w:val="auto"/>
        </w:rPr>
        <w:t>”) authorizes the issuance of up to 25,000,000 shares of Preferred Stock, with a par value of $0.0001 per share, of the Company (“</w:t>
      </w:r>
      <w:r>
        <w:rPr>
          <w:rFonts w:ascii="Times New Roman" w:cs="Times New Roman" w:eastAsia="Times New Roman" w:hAnsi="Times New Roman"/>
          <w:sz w:val="20"/>
          <w:szCs w:val="20"/>
          <w:u w:val="single" w:color="auto"/>
          <w:color w:val="auto"/>
        </w:rPr>
        <w:t>Preferred Stock</w:t>
      </w:r>
      <w:r>
        <w:rPr>
          <w:rFonts w:ascii="Times New Roman" w:cs="Times New Roman" w:eastAsia="Times New Roman" w:hAnsi="Times New Roman"/>
          <w:sz w:val="20"/>
          <w:szCs w:val="20"/>
          <w:color w:val="auto"/>
        </w:rPr>
        <w:t>”) in one or more series; and expressly authorizes the Board of Directors of the Company (the “</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to cause the issuance of the shares of Preferred Stock in such series and to fix from time to time before issuance the number of shares to be included in any such series and the designation, powers, preferences and other rights, if any, and the qualifications, limitations or restrictions thereof; and</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on October 2, 2024, the Board of Directors approved and adopted the following certificate of designation (this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for purposes of issuing shares of Preferred Stock designated as a series known as “Series B Preferred Stock”, with each such share having the designations, powers, preferences and relative, participating, optional or other rights, and the qualifications, limitations and restrictions, as set forth in this Certificate.</w:t>
      </w:r>
    </w:p>
    <w:p>
      <w:pPr>
        <w:spacing w:after="0" w:line="21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NOW THEREFORE, BE IT RESOLVED, that, pursuant to authority conferred upon the Board of Directors by the Certificate of Incorporation, the Board of Directors hereby provides out of the unissued shares of the Preferred Stock a series of Preferred Stock designated as “Series B Preferred Stock” and authorizes for issuance 3,000,000 shares of the Series B Preferred Stock (as defined below), and hereby fixes the designations, powers, preferences and other rights, and the qualifications, limitations and restrictions of the Series B Preferred Stock, as follows:</w:t>
      </w:r>
    </w:p>
    <w:p>
      <w:pPr>
        <w:sectPr>
          <w:pgSz w:w="11900" w:h="16838" w:orient="portrait"/>
          <w:cols w:equalWidth="0" w:num="1">
            <w:col w:w="11240"/>
          </w:cols>
          <w:pgMar w:left="320" w:top="114" w:right="339" w:bottom="1440" w:gutter="0" w:footer="0" w:header="0"/>
        </w:sectPr>
      </w:pPr>
    </w:p>
    <w:bookmarkStart w:id="50" w:name="page51"/>
    <w:bookmarkEnd w:id="50"/>
    <w:p>
      <w:pPr>
        <w:ind w:left="1292" w:hanging="644"/>
        <w:spacing w:after="0"/>
        <w:tabs>
          <w:tab w:leader="none" w:pos="1292"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8" w:firstLine="1304"/>
        <w:spacing w:after="0" w:line="226" w:lineRule="auto"/>
        <w:tabs>
          <w:tab w:leader="none" w:pos="1926" w:val="left"/>
        </w:tabs>
        <w:numPr>
          <w:ilvl w:val="2"/>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Series B Preferred Stock</w:t>
      </w:r>
      <w:r>
        <w:rPr>
          <w:rFonts w:ascii="Times New Roman" w:cs="Times New Roman" w:eastAsia="Times New Roman" w:hAnsi="Times New Roman"/>
          <w:sz w:val="20"/>
          <w:szCs w:val="20"/>
          <w:color w:val="auto"/>
        </w:rPr>
        <w:t>. A total of 3,000,000 shares of Preferred Stock shall be designated as a series known as “Series B Preferred Stock” (the “</w:t>
      </w:r>
      <w:r>
        <w:rPr>
          <w:rFonts w:ascii="Times New Roman" w:cs="Times New Roman" w:eastAsia="Times New Roman" w:hAnsi="Times New Roman"/>
          <w:sz w:val="20"/>
          <w:szCs w:val="20"/>
          <w:u w:val="single" w:color="auto"/>
          <w:color w:val="auto"/>
        </w:rPr>
        <w:t>Series B Preferred Stock</w:t>
      </w:r>
      <w:r>
        <w:rPr>
          <w:rFonts w:ascii="Times New Roman" w:cs="Times New Roman" w:eastAsia="Times New Roman" w:hAnsi="Times New Roman"/>
          <w:sz w:val="20"/>
          <w:szCs w:val="20"/>
          <w:color w:val="auto"/>
        </w:rPr>
        <w:t>”), which Series B Preferred Stock will have the designations, powers, preferences and relative, participating, optional, special and other rights, and the qualifications, limitations and restrictions set forth in this Certificate.</w:t>
      </w:r>
    </w:p>
    <w:p>
      <w:pPr>
        <w:spacing w:after="0" w:line="160" w:lineRule="exact"/>
        <w:rPr>
          <w:rFonts w:ascii="Times New Roman" w:cs="Times New Roman" w:eastAsia="Times New Roman" w:hAnsi="Times New Roman"/>
          <w:sz w:val="20"/>
          <w:szCs w:val="20"/>
          <w:color w:val="auto"/>
        </w:rPr>
      </w:pPr>
    </w:p>
    <w:p>
      <w:pPr>
        <w:jc w:val="both"/>
        <w:ind w:left="-8" w:firstLine="656"/>
        <w:spacing w:after="0" w:line="215" w:lineRule="auto"/>
        <w:tabs>
          <w:tab w:leader="none" w:pos="1288"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Ranking; Liquidation</w:t>
      </w:r>
      <w:r>
        <w:rPr>
          <w:rFonts w:ascii="Times New Roman" w:cs="Times New Roman" w:eastAsia="Times New Roman" w:hAnsi="Times New Roman"/>
          <w:sz w:val="20"/>
          <w:szCs w:val="20"/>
          <w:color w:val="auto"/>
        </w:rPr>
        <w:t>. With respect to payment of dividends, the Series B Preferred Stock shall rank senior in priority of payment to all Junior Stock and Parity Stock in any liquidation, dissolution, winding up or distribution of the Company, and junior to any existing or future secured or unsecured indebtedness and other liabilities (including trade payables) of the Company. With respect to (a) distribution of assets and (b) all other liquidation, winding up, dissolution, dividend and redemption rights, the Series B Preferred Stock shall rank pari passu in priority of payment to all Parity Stock and senior in priority of payment to all Junior Stock in any liquidation, dissolution, winding up or distribution of the Company, and junior to any existing or future secured or unsecured indebtedness and other liabilities (including trade payables) of the Company.</w:t>
      </w:r>
    </w:p>
    <w:p>
      <w:pPr>
        <w:spacing w:after="0" w:line="150"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Voting</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8" w:firstLine="1304"/>
        <w:spacing w:after="0" w:line="221" w:lineRule="auto"/>
        <w:tabs>
          <w:tab w:leader="none" w:pos="1926" w:val="left"/>
        </w:tabs>
        <w:numPr>
          <w:ilvl w:val="2"/>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Generally</w:t>
      </w:r>
      <w:r>
        <w:rPr>
          <w:rFonts w:ascii="Times New Roman" w:cs="Times New Roman" w:eastAsia="Times New Roman" w:hAnsi="Times New Roman"/>
          <w:sz w:val="19"/>
          <w:szCs w:val="19"/>
          <w:color w:val="auto"/>
        </w:rPr>
        <w:t xml:space="preserve">. On any matter presented to the stockholders of the Company for their action or consideration at any meeting of stockholders of the Company (or by written consent of the stockholders in lieu of a meeting), each Holder shall be entitled to cast the number of votes per each whole shares of Series B Preferred Stock held by such Holder as of the record date for determining stockholders entitled to vote on such matter (or, if no such record date is established, as of the date such vote is taken or any written consent of stockholders is solicited) equal to (i) the Original Issue Price as of the record date for determining stockholders entitled to vote on such matter (or, if no such record date is established, as of the date such vote is taken or any written consent of stockholders is solicited) </w:t>
      </w:r>
      <w:r>
        <w:rPr>
          <w:rFonts w:ascii="Times New Roman" w:cs="Times New Roman" w:eastAsia="Times New Roman" w:hAnsi="Times New Roman"/>
          <w:sz w:val="19"/>
          <w:szCs w:val="19"/>
          <w:i w:val="1"/>
          <w:iCs w:val="1"/>
          <w:color w:val="auto"/>
        </w:rPr>
        <w:t>divided by</w:t>
      </w:r>
    </w:p>
    <w:p>
      <w:pPr>
        <w:spacing w:after="0" w:line="2" w:lineRule="exact"/>
        <w:rPr>
          <w:rFonts w:ascii="Times New Roman" w:cs="Times New Roman" w:eastAsia="Times New Roman" w:hAnsi="Times New Roman"/>
          <w:sz w:val="19"/>
          <w:szCs w:val="19"/>
          <w:color w:val="auto"/>
        </w:rPr>
      </w:pPr>
    </w:p>
    <w:p>
      <w:pPr>
        <w:jc w:val="both"/>
        <w:ind w:left="-8" w:firstLine="8"/>
        <w:spacing w:after="0" w:line="209" w:lineRule="auto"/>
        <w:tabs>
          <w:tab w:leader="none" w:pos="28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$10.35. Except as provided by law or by the other provisions of this Certificate, Holders shall vote together with the holders of Common Stock as a single class and as provided pursuant to this </w:t>
      </w:r>
      <w:r>
        <w:rPr>
          <w:rFonts w:ascii="Times New Roman" w:cs="Times New Roman" w:eastAsia="Times New Roman" w:hAnsi="Times New Roman"/>
          <w:sz w:val="20"/>
          <w:szCs w:val="20"/>
          <w:u w:val="single" w:color="auto"/>
          <w:color w:val="auto"/>
        </w:rPr>
        <w:t>Section 3(a)</w:t>
      </w:r>
      <w:r>
        <w:rPr>
          <w:rFonts w:ascii="Times New Roman" w:cs="Times New Roman" w:eastAsia="Times New Roman" w:hAnsi="Times New Roman"/>
          <w:sz w:val="20"/>
          <w:szCs w:val="20"/>
          <w:color w:val="auto"/>
        </w:rPr>
        <w:t>. Notwithstanding the foregoing, the Holders of shares of Series B Preferred Stock shall not be entitled to any voting rights in respect of such shares of Series B Preferred Stock, at any stockholders’ meeting or in any written consent of stockholders, in each case to the extent, and only to the extent, that such Holders would have the right to a number of votes in respect of such Holders’ shares of Voting Stock of the Company in excess of 19.99% of the then-outstanding Stockholder Voting Power. For the avoidance of doubt, the Holders of shares of Series B Preferred Stock shall not be entitled to any voting rights at any stockholders’ meeting or in any written consent of the stockholders, in each case to the extent, and only to the extent, that the issuance, delivery, conversion or convertibility of such Series B Preferred Stock would result in such Holder or a “person” or “group” (within the meaning of Section 13(d)(3) of the Exchange Act) beneficially owning in excess of the Threshold Amount prior to such voting rights being approved by the Company’s stockholders (whether approved through a special meeting of the Company’s stockholders or otherwise) in accordance with the stockholder approval requirements of Nasdaq Marketplace Rule 5635 (or any equivalent rule or requirement of the applicable exchange or automated quotation system on which the Common Stock is then listed or quoted) (the “</w:t>
      </w:r>
      <w:r>
        <w:rPr>
          <w:rFonts w:ascii="Times New Roman" w:cs="Times New Roman" w:eastAsia="Times New Roman" w:hAnsi="Times New Roman"/>
          <w:sz w:val="20"/>
          <w:szCs w:val="20"/>
          <w:u w:val="single" w:color="auto"/>
          <w:color w:val="auto"/>
        </w:rPr>
        <w:t>Requisite Stockholder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Approval</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left="-8" w:right="20" w:firstLine="1304"/>
        <w:spacing w:after="0"/>
        <w:tabs>
          <w:tab w:leader="none" w:pos="1924" w:val="left"/>
        </w:tabs>
        <w:numPr>
          <w:ilvl w:val="2"/>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Written Consent; Meetings</w:t>
      </w:r>
      <w:r>
        <w:rPr>
          <w:rFonts w:ascii="Times New Roman" w:cs="Times New Roman" w:eastAsia="Times New Roman" w:hAnsi="Times New Roman"/>
          <w:sz w:val="20"/>
          <w:szCs w:val="20"/>
          <w:color w:val="auto"/>
        </w:rPr>
        <w:t>. A consent or affirmative vote of the Holders may be given or obtained either in writing without a meeting, or in person or by proxy at a regular annual meeting, or a special meeting of stockholders or Holders.</w:t>
      </w:r>
    </w:p>
    <w:p>
      <w:pPr>
        <w:spacing w:after="0" w:line="161" w:lineRule="exact"/>
        <w:rPr>
          <w:rFonts w:ascii="Times New Roman" w:cs="Times New Roman" w:eastAsia="Times New Roman" w:hAnsi="Times New Roman"/>
          <w:sz w:val="20"/>
          <w:szCs w:val="20"/>
          <w:color w:val="auto"/>
        </w:rPr>
      </w:pPr>
    </w:p>
    <w:p>
      <w:pPr>
        <w:ind w:left="1292" w:hanging="644"/>
        <w:spacing w:after="0"/>
        <w:tabs>
          <w:tab w:leader="none" w:pos="1292"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8" w:firstLine="1304"/>
        <w:spacing w:after="0" w:line="218" w:lineRule="auto"/>
        <w:tabs>
          <w:tab w:leader="none" w:pos="1926"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Dividends are prior to and in preference over any dividend on any Junior Stock or Parity Stock and shall be declared and fully paid before any dividends are declared and paid, or any other distributions are made, on any Junior Stock or Parity Stock. Dividends shall be payable to the Holders as they appear on the records of the Company on the record date for such Dividends, which, to the extent the Board of Directors determines to declare Dividends in respect of any Dividend Period, shall be the date that is 10 Business Days prior to the applicable Dividend Payment Date, and which record date and Dividend Payment Date, to the extent so determined, shall be declared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32"/>
          </w:cols>
          <w:pgMar w:left="328" w:top="139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color w:val="auto"/>
        </w:rPr>
        <w:t>during each Dividend Period on the date that is at least 15 Business Days prior to the Dividend Payment Date and five Business Days prior to the record date.</w:t>
      </w:r>
    </w:p>
    <w:p>
      <w:pPr>
        <w:spacing w:after="0" w:line="148" w:lineRule="exact"/>
        <w:rPr>
          <w:sz w:val="20"/>
          <w:szCs w:val="20"/>
          <w:color w:val="auto"/>
        </w:rPr>
      </w:pPr>
    </w:p>
    <w:p>
      <w:pPr>
        <w:jc w:val="both"/>
        <w:ind w:firstLine="1304"/>
        <w:spacing w:after="0" w:line="230" w:lineRule="auto"/>
        <w:tabs>
          <w:tab w:leader="none" w:pos="1932"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Initial Issue Date, preferential cumulative dividends (“</w:t>
      </w: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shall accrue on the total number of shares of Series B Preferred Stock held by a Holder on an annual basis and in arrears as 8.0% of the Liquidation Preference (the “</w:t>
      </w:r>
      <w:r>
        <w:rPr>
          <w:rFonts w:ascii="Times New Roman" w:cs="Times New Roman" w:eastAsia="Times New Roman" w:hAnsi="Times New Roman"/>
          <w:sz w:val="20"/>
          <w:szCs w:val="20"/>
          <w:u w:val="single" w:color="auto"/>
          <w:color w:val="auto"/>
        </w:rPr>
        <w:t>Dividend Rate</w:t>
      </w:r>
      <w:r>
        <w:rPr>
          <w:rFonts w:ascii="Times New Roman" w:cs="Times New Roman" w:eastAsia="Times New Roman" w:hAnsi="Times New Roman"/>
          <w:sz w:val="20"/>
          <w:szCs w:val="20"/>
          <w:color w:val="auto"/>
        </w:rPr>
        <w:t>”). Dividends will be due and payable annually in arrears as payment in kind on each Dividend Payment Date.</w:t>
      </w:r>
    </w:p>
    <w:p>
      <w:pPr>
        <w:spacing w:after="0" w:line="14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Holders of Series B Preferred Stock will be entitled to receive all dividends and other distributions of cash and other property as may be declared on the Common Stock by the Board of Directors from time to time out of assets or funds of the Company legally available therefor, as if all shares of the Series B Preferred Stock held by such Holder had been converted into the applicable number of shares of Common Stock pursuant to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on the day any such dividend was declared.</w:t>
      </w:r>
    </w:p>
    <w:p>
      <w:pPr>
        <w:spacing w:after="0" w:line="161" w:lineRule="exact"/>
        <w:rPr>
          <w:rFonts w:ascii="Times New Roman" w:cs="Times New Roman" w:eastAsia="Times New Roman" w:hAnsi="Times New Roman"/>
          <w:sz w:val="20"/>
          <w:szCs w:val="20"/>
          <w:color w:val="auto"/>
        </w:rPr>
      </w:pPr>
    </w:p>
    <w:p>
      <w:pPr>
        <w:jc w:val="both"/>
        <w:ind w:firstLine="656"/>
        <w:spacing w:after="0" w:line="220" w:lineRule="auto"/>
        <w:tabs>
          <w:tab w:leader="none" w:pos="129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and Waivers</w:t>
      </w:r>
      <w:r>
        <w:rPr>
          <w:rFonts w:ascii="Times New Roman" w:cs="Times New Roman" w:eastAsia="Times New Roman" w:hAnsi="Times New Roman"/>
          <w:sz w:val="20"/>
          <w:szCs w:val="20"/>
          <w:color w:val="auto"/>
        </w:rPr>
        <w:t xml:space="preserve">. So long as any shares of Series B Preferred Stock remain outstanding, and unless a greater percentage is required by law, the Company shall not, without the affirmative vote or written consent of the Holders of 51% of the then-outstanding Series B Preferred Stock, voting separately as one class, amend, alter or change the rights, preferences or privileges of the shares of Series B Preferred Stock, or waive the compliance of any of the covenants included in this Certificate;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Company shall not effect any of the following matters without the consent of each Holder that is adversely affected thereby:</w:t>
      </w:r>
    </w:p>
    <w:p>
      <w:pPr>
        <w:spacing w:after="0" w:line="14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Dividend Rate or alter the timing or method of payment of any Dividends pursuant to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firstLine="1304"/>
        <w:spacing w:after="0"/>
        <w:tabs>
          <w:tab w:leader="none" w:pos="1932"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the issuance of any series of Preferred Stock of the Company that is senior to the Series B Preferred Stock with respect to any rights referenced in Section 2 of this Certificate; or</w:t>
      </w:r>
    </w:p>
    <w:p>
      <w:pPr>
        <w:spacing w:after="0" w:line="14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Original Issue Price.</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Conversion</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Conversion</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140" w:right="20" w:firstLine="1298"/>
        <w:spacing w:after="0"/>
        <w:tabs>
          <w:tab w:leader="none" w:pos="3244"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shares of Series B Preferred Stock will be converted into shares of Common Stock (the “</w:t>
      </w:r>
      <w:r>
        <w:rPr>
          <w:rFonts w:ascii="Times New Roman" w:cs="Times New Roman" w:eastAsia="Times New Roman" w:hAnsi="Times New Roman"/>
          <w:sz w:val="20"/>
          <w:szCs w:val="20"/>
          <w:u w:val="single" w:color="auto"/>
          <w:color w:val="auto"/>
        </w:rPr>
        <w:t>Mandatory Conversion</w:t>
      </w:r>
      <w:r>
        <w:rPr>
          <w:rFonts w:ascii="Times New Roman" w:cs="Times New Roman" w:eastAsia="Times New Roman" w:hAnsi="Times New Roman"/>
          <w:sz w:val="20"/>
          <w:szCs w:val="20"/>
          <w:color w:val="auto"/>
        </w:rPr>
        <w:t>”) on the fifth anniversary of the Initial Issue Date.</w:t>
      </w:r>
    </w:p>
    <w:p>
      <w:pPr>
        <w:spacing w:after="0" w:line="147" w:lineRule="exact"/>
        <w:rPr>
          <w:rFonts w:ascii="Times New Roman" w:cs="Times New Roman" w:eastAsia="Times New Roman" w:hAnsi="Times New Roman"/>
          <w:sz w:val="20"/>
          <w:szCs w:val="20"/>
          <w:color w:val="auto"/>
        </w:rPr>
      </w:pPr>
    </w:p>
    <w:p>
      <w:pPr>
        <w:jc w:val="both"/>
        <w:ind w:left="1140" w:firstLine="1298"/>
        <w:spacing w:after="0" w:line="211" w:lineRule="auto"/>
        <w:tabs>
          <w:tab w:leader="none" w:pos="3245"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Mechanics of Conversion</w:t>
      </w:r>
      <w:r>
        <w:rPr>
          <w:rFonts w:ascii="Times New Roman" w:cs="Times New Roman" w:eastAsia="Times New Roman" w:hAnsi="Times New Roman"/>
          <w:sz w:val="20"/>
          <w:szCs w:val="20"/>
          <w:color w:val="auto"/>
        </w:rPr>
        <w:t>. Prior to such date of conversion, the Company shall send all Holders written notice. Such notice will contain the time (“</w:t>
      </w:r>
      <w:r>
        <w:rPr>
          <w:rFonts w:ascii="Times New Roman" w:cs="Times New Roman" w:eastAsia="Times New Roman" w:hAnsi="Times New Roman"/>
          <w:sz w:val="20"/>
          <w:szCs w:val="20"/>
          <w:u w:val="single" w:color="auto"/>
          <w:color w:val="auto"/>
        </w:rPr>
        <w:t>Mandatory Conversion Time</w:t>
      </w:r>
      <w:r>
        <w:rPr>
          <w:rFonts w:ascii="Times New Roman" w:cs="Times New Roman" w:eastAsia="Times New Roman" w:hAnsi="Times New Roman"/>
          <w:sz w:val="20"/>
          <w:szCs w:val="20"/>
          <w:color w:val="auto"/>
        </w:rPr>
        <w:t xml:space="preserve">”) and the place designated for mandatory conversion of all such shares of Series B Preferred Stock pursuant to this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 xml:space="preserve">. Such notice will be sent at least 7 days in advance of the Mandatory Conversion Time. Upon receipt of such notice, each Holder that holds shares of Series B Preferred Stock in certificated form shall surrender his, her or its certificate or certificates for all such shares (or, if such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to the Company at the place designated in such notice. If so required by the Company, any certificates surrendered for conversion shall be endorsed or accompanied by written instrument or instruments of transfer, in form satisfactory to the Company, duly executed by the Holder or by his, her or its attorney duly authorized in writing. All rights with respect to the Series B Preferred Stock converted pursuant to this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 xml:space="preserve">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99" w:right="339" w:bottom="1440" w:gutter="0" w:footer="0" w:header="0"/>
        </w:sectPr>
      </w:pPr>
    </w:p>
    <w:bookmarkStart w:id="52" w:name="page53"/>
    <w:bookmarkEnd w:id="52"/>
    <w:p>
      <w:pPr>
        <w:ind w:left="960"/>
        <w:spacing w:after="0"/>
        <w:rPr>
          <w:sz w:val="20"/>
          <w:szCs w:val="20"/>
          <w:color w:val="auto"/>
        </w:rPr>
      </w:pPr>
      <w:r>
        <w:rPr>
          <w:rFonts w:ascii="Times New Roman" w:cs="Times New Roman" w:eastAsia="Times New Roman" w:hAnsi="Times New Roman"/>
          <w:sz w:val="20"/>
          <w:szCs w:val="20"/>
          <w:color w:val="auto"/>
        </w:rPr>
        <w:t xml:space="preserve">provided for in the next sentence of this </w:t>
      </w:r>
      <w:r>
        <w:rPr>
          <w:rFonts w:ascii="Times New Roman" w:cs="Times New Roman" w:eastAsia="Times New Roman" w:hAnsi="Times New Roman"/>
          <w:sz w:val="20"/>
          <w:szCs w:val="20"/>
          <w:u w:val="single" w:color="auto"/>
          <w:color w:val="auto"/>
        </w:rPr>
        <w:t>Section 6(a)(ii)</w:t>
      </w:r>
      <w:r>
        <w:rPr>
          <w:rFonts w:ascii="Times New Roman" w:cs="Times New Roman" w:eastAsia="Times New Roman" w:hAnsi="Times New Roman"/>
          <w:sz w:val="20"/>
          <w:szCs w:val="20"/>
          <w:color w:val="auto"/>
        </w:rPr>
        <w:t>. As soon as practicable after the Mandatory Conversion Time and, if</w:t>
      </w:r>
    </w:p>
    <w:p>
      <w:pPr>
        <w:ind w:left="960"/>
        <w:spacing w:after="0" w:line="204" w:lineRule="auto"/>
        <w:rPr>
          <w:sz w:val="20"/>
          <w:szCs w:val="20"/>
          <w:color w:val="auto"/>
        </w:rPr>
      </w:pPr>
      <w:r>
        <w:rPr>
          <w:rFonts w:ascii="Times New Roman" w:cs="Times New Roman" w:eastAsia="Times New Roman" w:hAnsi="Times New Roman"/>
          <w:sz w:val="20"/>
          <w:szCs w:val="20"/>
          <w:color w:val="auto"/>
        </w:rPr>
        <w:t>applicable, the surrender of any certificate or certificates (or lost certificate affidavit and agreement) for Series B Preferred Stock, the Company shall issue and deliver to such Holder, (A) a certificate or certificates for the number of full shares of</w:t>
      </w:r>
    </w:p>
    <w:p>
      <w:pPr>
        <w:ind w:left="960"/>
        <w:spacing w:after="0" w:line="211" w:lineRule="auto"/>
        <w:rPr>
          <w:sz w:val="20"/>
          <w:szCs w:val="20"/>
          <w:color w:val="auto"/>
        </w:rPr>
      </w:pPr>
      <w:r>
        <w:rPr>
          <w:rFonts w:ascii="Times New Roman" w:cs="Times New Roman" w:eastAsia="Times New Roman" w:hAnsi="Times New Roman"/>
          <w:sz w:val="20"/>
          <w:szCs w:val="20"/>
          <w:color w:val="auto"/>
        </w:rPr>
        <w:t>Common Stock issuable upon such conversion in accordance with the provisions hereof or (B) a notice of issuance of</w:t>
      </w:r>
    </w:p>
    <w:p>
      <w:pPr>
        <w:spacing w:after="0" w:line="1" w:lineRule="exact"/>
        <w:rPr>
          <w:sz w:val="20"/>
          <w:szCs w:val="20"/>
          <w:color w:val="auto"/>
        </w:rPr>
      </w:pPr>
    </w:p>
    <w:p>
      <w:pPr>
        <w:ind w:left="960"/>
        <w:spacing w:after="0" w:line="221" w:lineRule="auto"/>
        <w:rPr>
          <w:sz w:val="20"/>
          <w:szCs w:val="20"/>
          <w:color w:val="auto"/>
        </w:rPr>
      </w:pPr>
      <w:r>
        <w:rPr>
          <w:rFonts w:ascii="Times New Roman" w:cs="Times New Roman" w:eastAsia="Times New Roman" w:hAnsi="Times New Roman"/>
          <w:sz w:val="20"/>
          <w:szCs w:val="20"/>
          <w:color w:val="auto"/>
        </w:rPr>
        <w:t>uncertificated shares and may, upon written request, issue and deliver a certificate for the number of full shares of Common Stock issuable upon such conversion in accordance with the provisions hereof.</w:t>
      </w:r>
    </w:p>
    <w:p>
      <w:pPr>
        <w:spacing w:after="0" w:line="162" w:lineRule="exact"/>
        <w:rPr>
          <w:sz w:val="20"/>
          <w:szCs w:val="20"/>
          <w:color w:val="auto"/>
        </w:rPr>
      </w:pPr>
    </w:p>
    <w:p>
      <w:pPr>
        <w:ind w:left="1760" w:hanging="636"/>
        <w:spacing w:after="0"/>
        <w:tabs>
          <w:tab w:leader="none" w:pos="17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Holder Conversion Right</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3060" w:hanging="802"/>
        <w:spacing w:after="0"/>
        <w:tabs>
          <w:tab w:leader="none" w:pos="30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Effectiveness Date, each Holder may convert all of its shares of Series B Preferred Stock</w:t>
      </w:r>
    </w:p>
    <w:p>
      <w:pPr>
        <w:ind w:left="960"/>
        <w:spacing w:after="0" w:line="228" w:lineRule="auto"/>
        <w:rPr>
          <w:sz w:val="20"/>
          <w:szCs w:val="20"/>
          <w:color w:val="auto"/>
        </w:rPr>
      </w:pPr>
      <w:r>
        <w:rPr>
          <w:rFonts w:ascii="Times New Roman" w:cs="Times New Roman" w:eastAsia="Times New Roman" w:hAnsi="Times New Roman"/>
          <w:sz w:val="20"/>
          <w:szCs w:val="20"/>
          <w:color w:val="auto"/>
        </w:rPr>
        <w:t>into shares of Common Stock (the “</w:t>
      </w:r>
      <w:r>
        <w:rPr>
          <w:rFonts w:ascii="Times New Roman" w:cs="Times New Roman" w:eastAsia="Times New Roman" w:hAnsi="Times New Roman"/>
          <w:sz w:val="20"/>
          <w:szCs w:val="20"/>
          <w:u w:val="single" w:color="auto"/>
          <w:color w:val="auto"/>
        </w:rPr>
        <w:t>Holder Conversion Right</w:t>
      </w:r>
      <w:r>
        <w:rPr>
          <w:rFonts w:ascii="Times New Roman" w:cs="Times New Roman" w:eastAsia="Times New Roman" w:hAnsi="Times New Roman"/>
          <w:sz w:val="20"/>
          <w:szCs w:val="20"/>
          <w:color w:val="auto"/>
        </w:rPr>
        <w:t>” and together with the Mandatory Conversion, each a “</w:t>
      </w:r>
      <w:r>
        <w:rPr>
          <w:rFonts w:ascii="Times New Roman" w:cs="Times New Roman" w:eastAsia="Times New Roman" w:hAnsi="Times New Roman"/>
          <w:sz w:val="20"/>
          <w:szCs w:val="20"/>
          <w:u w:val="single" w:color="auto"/>
          <w:color w:val="auto"/>
        </w:rPr>
        <w:t>Conversion Right</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left="960" w:firstLine="1298"/>
        <w:spacing w:after="0" w:line="209" w:lineRule="auto"/>
        <w:tabs>
          <w:tab w:leader="none" w:pos="3065"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Mechanics of Conversion</w:t>
      </w:r>
      <w:r>
        <w:rPr>
          <w:rFonts w:ascii="Times New Roman" w:cs="Times New Roman" w:eastAsia="Times New Roman" w:hAnsi="Times New Roman"/>
          <w:sz w:val="20"/>
          <w:szCs w:val="20"/>
          <w:color w:val="auto"/>
        </w:rPr>
        <w:t>. In order for a Holder to voluntarily convert all of such Holder’s shares of Series B Preferred Stock into shares of Common Stock, such Holder shall (A) provide written notice to the Company’s transfer agent at the office of the transfer agent for the Series B Preferred Stock (or at the principal office of the Company if the Company serves as its own transfer agent) that such Holder elects to convert all of such Holder’s shares of Series B Preferred Stock and (B), if such Holder’s shares are certificated, surrender the certificate or certificates for such shares of Series B Preferred Stock (or, if such registered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at the office of the transfer agent for the Preferred Stock (or at the principal office of the Company if the Company serves as its own transfer agent). Such notice shall state such Holder’s name. If required by the Company, any certificates surrendered for oconversion shall be endorsed or accompanied by a written instrument or instruments of transfer, in form satisfactory to the Company, duly executed by the registered holder or his, her or its attorney duly authorized in writing. Unless a later time and date is otherwise specified by the Company, the close of business on the date of receipt by the transfer agent (or by the Company if the Company serves as its own transfer agent) of such notice and, if applicable, certificates (or lost certificate affidavit and agreement) shall be the time of conversion (the “</w:t>
      </w:r>
      <w:r>
        <w:rPr>
          <w:rFonts w:ascii="Times New Roman" w:cs="Times New Roman" w:eastAsia="Times New Roman" w:hAnsi="Times New Roman"/>
          <w:sz w:val="20"/>
          <w:szCs w:val="20"/>
          <w:u w:val="single" w:color="auto"/>
          <w:color w:val="auto"/>
        </w:rPr>
        <w:t>Conversion Time</w:t>
      </w:r>
      <w:r>
        <w:rPr>
          <w:rFonts w:ascii="Times New Roman" w:cs="Times New Roman" w:eastAsia="Times New Roman" w:hAnsi="Times New Roman"/>
          <w:sz w:val="20"/>
          <w:szCs w:val="20"/>
          <w:color w:val="auto"/>
        </w:rPr>
        <w:t>”), and the shares of Common Stock issuable upon conversion of the specified shares shall be deemed to be outstanding of record as of such date. The Company shall, as soon as practicable after the Conversion Time issue and deliver to such Holder, (y) a certificate or certificates for the number of full shares of Common Stock issuable upon such conversion in accordance with the provisions hereof or (z) a notice of issuance of uncertificated shares and may, upon written request, issue and deliver a certificate for the number of full shares of Common Stock issuable upon such conversion in accordance with the provisions hereof.</w:t>
      </w:r>
    </w:p>
    <w:p>
      <w:pPr>
        <w:spacing w:after="0" w:line="166" w:lineRule="exact"/>
        <w:rPr>
          <w:rFonts w:ascii="Times New Roman" w:cs="Times New Roman" w:eastAsia="Times New Roman" w:hAnsi="Times New Roman"/>
          <w:sz w:val="20"/>
          <w:szCs w:val="20"/>
          <w:color w:val="auto"/>
        </w:rPr>
      </w:pPr>
    </w:p>
    <w:p>
      <w:pPr>
        <w:jc w:val="both"/>
        <w:ind w:left="-180" w:right="60" w:firstLine="1304"/>
        <w:spacing w:after="0" w:line="226" w:lineRule="auto"/>
        <w:tabs>
          <w:tab w:leader="none" w:pos="175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Conversion Rate</w:t>
      </w:r>
      <w:r>
        <w:rPr>
          <w:rFonts w:ascii="Times New Roman" w:cs="Times New Roman" w:eastAsia="Times New Roman" w:hAnsi="Times New Roman"/>
          <w:sz w:val="20"/>
          <w:szCs w:val="20"/>
          <w:color w:val="auto"/>
        </w:rPr>
        <w:t xml:space="preserve">. Upon the exercise of or occurrence of a Conversion Right, the conversion rate will equal a fraction whose numerator is the Original Issue Price and whose denominator is the lesser of (i) the Reset Conversion Price or (ii) $12.50 (such rate as determined by this </w:t>
      </w:r>
      <w:r>
        <w:rPr>
          <w:rFonts w:ascii="Times New Roman" w:cs="Times New Roman" w:eastAsia="Times New Roman" w:hAnsi="Times New Roman"/>
          <w:sz w:val="20"/>
          <w:szCs w:val="20"/>
          <w:u w:val="single" w:color="auto"/>
          <w:color w:val="auto"/>
        </w:rPr>
        <w:t>Section 6(c)</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Conversion Rate</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left="-180" w:firstLine="1304"/>
        <w:spacing w:after="0" w:line="217" w:lineRule="auto"/>
        <w:tabs>
          <w:tab w:leader="none" w:pos="175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 Issuable Upon Conversion</w:t>
      </w:r>
      <w:r>
        <w:rPr>
          <w:rFonts w:ascii="Times New Roman" w:cs="Times New Roman" w:eastAsia="Times New Roman" w:hAnsi="Times New Roman"/>
          <w:sz w:val="20"/>
          <w:szCs w:val="20"/>
          <w:color w:val="auto"/>
        </w:rPr>
        <w:t xml:space="preserve">. The number of shares of Common Stock that each Holder will receive upon conversion of all of such Holder’s shares of Series B Preferred Stock will be the number of shares equal to the Conversion Rate </w:t>
      </w:r>
      <w:r>
        <w:rPr>
          <w:rFonts w:ascii="Times New Roman" w:cs="Times New Roman" w:eastAsia="Times New Roman" w:hAnsi="Times New Roman"/>
          <w:sz w:val="20"/>
          <w:szCs w:val="20"/>
          <w:i w:val="1"/>
          <w:iCs w:val="1"/>
          <w:color w:val="auto"/>
        </w:rPr>
        <w:t xml:space="preserve">multiplied by </w:t>
      </w:r>
      <w:r>
        <w:rPr>
          <w:rFonts w:ascii="Times New Roman" w:cs="Times New Roman" w:eastAsia="Times New Roman" w:hAnsi="Times New Roman"/>
          <w:sz w:val="20"/>
          <w:szCs w:val="20"/>
          <w:color w:val="auto"/>
        </w:rPr>
        <w:t>the number of shares of Series B Preferred Stock held by such Holder;</w:t>
      </w:r>
      <w:r>
        <w:rPr>
          <w:rFonts w:ascii="Times New Roman" w:cs="Times New Roman" w:eastAsia="Times New Roman" w:hAnsi="Times New Roman"/>
          <w:sz w:val="20"/>
          <w:szCs w:val="20"/>
          <w:i w:val="1"/>
          <w:iCs w:val="1"/>
          <w:color w:val="auto"/>
        </w:rPr>
        <w:t xml:space="preserve"> provided that </w:t>
      </w:r>
      <w:r>
        <w:rPr>
          <w:rFonts w:ascii="Times New Roman" w:cs="Times New Roman" w:eastAsia="Times New Roman" w:hAnsi="Times New Roman"/>
          <w:sz w:val="20"/>
          <w:szCs w:val="20"/>
          <w:color w:val="auto"/>
        </w:rPr>
        <w:t>no fractional shares shall be issued upon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exercise or occurrence of any Conversion Right. As to any fraction of a share which the Holder would otherwise be entitled to purchase upon such exercise or occurrence of such Conversion Right, the Company shall round up to the next whole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500" w:top="1394" w:right="339" w:bottom="1440" w:gutter="0" w:footer="0" w:header="0"/>
        </w:sectPr>
      </w:pPr>
    </w:p>
    <w:bookmarkStart w:id="53" w:name="page54"/>
    <w:bookmarkEnd w:id="53"/>
    <w:p>
      <w:pPr>
        <w:jc w:val="both"/>
        <w:ind w:left="-180" w:firstLine="1304"/>
        <w:spacing w:after="0" w:line="226" w:lineRule="auto"/>
        <w:tabs>
          <w:tab w:leader="none" w:pos="1754"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Conversion</w:t>
      </w:r>
      <w:r>
        <w:rPr>
          <w:rFonts w:ascii="Times New Roman" w:cs="Times New Roman" w:eastAsia="Times New Roman" w:hAnsi="Times New Roman"/>
          <w:sz w:val="20"/>
          <w:szCs w:val="20"/>
          <w:color w:val="auto"/>
        </w:rPr>
        <w:t xml:space="preserve">. All shares of Series B Preferred Stock which shall have been surrendered for conversion under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shall no longer be deemed to be outstanding and all rights with respect to such shares shall immediately cease and terminate at the Conversion Time, except only the right of the holders thereof to receive shares of Common Stock in exchange therefor.</w:t>
      </w:r>
    </w:p>
    <w:p>
      <w:pPr>
        <w:spacing w:after="0" w:line="160" w:lineRule="exact"/>
        <w:rPr>
          <w:rFonts w:ascii="Times New Roman" w:cs="Times New Roman" w:eastAsia="Times New Roman" w:hAnsi="Times New Roman"/>
          <w:sz w:val="20"/>
          <w:szCs w:val="20"/>
          <w:color w:val="auto"/>
        </w:rPr>
      </w:pPr>
    </w:p>
    <w:p>
      <w:pPr>
        <w:ind w:left="-180" w:firstLine="1304"/>
        <w:spacing w:after="0"/>
        <w:tabs>
          <w:tab w:leader="none" w:pos="1759"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Nasdaq Conversion Limits</w:t>
      </w:r>
      <w:r>
        <w:rPr>
          <w:rFonts w:ascii="Times New Roman" w:cs="Times New Roman" w:eastAsia="Times New Roman" w:hAnsi="Times New Roman"/>
          <w:sz w:val="20"/>
          <w:szCs w:val="20"/>
          <w:color w:val="auto"/>
        </w:rPr>
        <w:t xml:space="preserve">. Any proposed conversion will be reviewed and addressed in accordance with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of the Investment Agreement for compliance with Nasdaq conversion limits.</w:t>
      </w:r>
    </w:p>
    <w:p>
      <w:pPr>
        <w:spacing w:after="0" w:line="147" w:lineRule="exact"/>
        <w:rPr>
          <w:rFonts w:ascii="Times New Roman" w:cs="Times New Roman" w:eastAsia="Times New Roman" w:hAnsi="Times New Roman"/>
          <w:sz w:val="20"/>
          <w:szCs w:val="20"/>
          <w:color w:val="auto"/>
        </w:rPr>
      </w:pPr>
    </w:p>
    <w:p>
      <w:pPr>
        <w:ind w:left="1120" w:hanging="644"/>
        <w:spacing w:after="0"/>
        <w:tabs>
          <w:tab w:leader="none" w:pos="11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Adjustments</w:t>
      </w:r>
    </w:p>
    <w:p>
      <w:pPr>
        <w:spacing w:after="0" w:line="188" w:lineRule="exact"/>
        <w:rPr>
          <w:rFonts w:ascii="Times New Roman" w:cs="Times New Roman" w:eastAsia="Times New Roman" w:hAnsi="Times New Roman"/>
          <w:sz w:val="20"/>
          <w:szCs w:val="20"/>
          <w:color w:val="auto"/>
        </w:rPr>
      </w:pPr>
    </w:p>
    <w:p>
      <w:pPr>
        <w:jc w:val="both"/>
        <w:ind w:left="-180" w:firstLine="1304"/>
        <w:spacing w:after="0" w:line="211" w:lineRule="auto"/>
        <w:tabs>
          <w:tab w:leader="none" w:pos="1754"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Dividends and Stock Splits</w:t>
      </w:r>
      <w:r>
        <w:rPr>
          <w:rFonts w:ascii="Times New Roman" w:cs="Times New Roman" w:eastAsia="Times New Roman" w:hAnsi="Times New Roman"/>
          <w:sz w:val="20"/>
          <w:szCs w:val="20"/>
          <w:color w:val="auto"/>
        </w:rPr>
        <w:t>. If the Company, at any time while the Series B Preferred Stock is outstanding: (a) pays a stock dividend or otherwise makes a distribution or distributions payable in shares of Common Stock on shares of Common Stock or any other Common Stock Equivalents (which, for avoidance of doubt, will not include any shares of Common Stock issued by the Company upon conversion of this Series B Preferred Stock or payment of a dividend on this Series B Preferred Stock); (b) subdivides outstanding shares of Common Stock into a larger number of shares; (c) combines (including by way of a reverse stock split) outstanding shares of Common Stock into a smaller number of shares; or (d) issues, in the event of a reclassification of shares of the Common Stock, any shares of capital stock of the Company, then the Conversion Price will be multiplied by a fraction of which the numerator will be the number of shares of Common Stock (excluding any treasury shares of the Company) outstanding immediately before such event and of which the denominator will be the number of shares of Common Stock, or in the event that clause (d) of this Section 7 will apply shares of reclassified capital stock, outstanding immediately after such event. Any adjustment made pursuant to this Section 7 will become effective immediately after the record date for the determination of stockholders entitled to receive such dividend or distribution and will become effective immediately after the effective date in the case of a subdivision, combination or re-classification.</w:t>
      </w:r>
    </w:p>
    <w:p>
      <w:pPr>
        <w:spacing w:after="0" w:line="165" w:lineRule="exact"/>
        <w:rPr>
          <w:rFonts w:ascii="Times New Roman" w:cs="Times New Roman" w:eastAsia="Times New Roman" w:hAnsi="Times New Roman"/>
          <w:sz w:val="20"/>
          <w:szCs w:val="20"/>
          <w:color w:val="auto"/>
        </w:rPr>
      </w:pPr>
    </w:p>
    <w:p>
      <w:pPr>
        <w:jc w:val="both"/>
        <w:ind w:left="-180" w:firstLine="1304"/>
        <w:spacing w:after="0" w:line="211" w:lineRule="auto"/>
        <w:tabs>
          <w:tab w:leader="none" w:pos="1752"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Subsequent Rights Offerings</w:t>
      </w:r>
      <w:r>
        <w:rPr>
          <w:rFonts w:ascii="Times New Roman" w:cs="Times New Roman" w:eastAsia="Times New Roman" w:hAnsi="Times New Roman"/>
          <w:sz w:val="20"/>
          <w:szCs w:val="20"/>
          <w:color w:val="auto"/>
        </w:rPr>
        <w:t>. In addition to any adjustments pursuant to Section 7(a)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20"/>
          <w:szCs w:val="20"/>
          <w:u w:val="single" w:color="auto"/>
          <w:color w:val="auto"/>
        </w:rPr>
        <w:t>Purchase Rights</w:t>
      </w:r>
      <w:r>
        <w:rPr>
          <w:rFonts w:ascii="Times New Roman" w:cs="Times New Roman" w:eastAsia="Times New Roman" w:hAnsi="Times New Roman"/>
          <w:sz w:val="20"/>
          <w:szCs w:val="20"/>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such Holder’s Series B Preferred Stock (without regard to any limitations on exercise hereof, including without limitation, the limitation of the Threshold Amount)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Threshold Amount, then the Holder shall not be entitled to participate in such Purchase Right to such extent (or beneficial ownership of such shares of Common Stock as a result of such Purchase Right to such extent) and such Purchase Right to such extent shall be held in abeyance by the Company for the Holder (which shall not give the Holder any power to vote or dispose of such Purchase Rights) until such time, if ever, as its right thereto would not result in the Holder exceeding the Threshold Amount).</w:t>
      </w:r>
    </w:p>
    <w:p>
      <w:pPr>
        <w:spacing w:after="0" w:line="152" w:lineRule="exact"/>
        <w:rPr>
          <w:rFonts w:ascii="Times New Roman" w:cs="Times New Roman" w:eastAsia="Times New Roman" w:hAnsi="Times New Roman"/>
          <w:sz w:val="20"/>
          <w:szCs w:val="20"/>
          <w:color w:val="auto"/>
        </w:rPr>
      </w:pPr>
    </w:p>
    <w:p>
      <w:pPr>
        <w:ind w:left="1120" w:hanging="644"/>
        <w:spacing w:after="0"/>
        <w:tabs>
          <w:tab w:leader="none" w:pos="11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and Remedies of Holders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80" w:right="20" w:firstLine="1304"/>
        <w:spacing w:after="0"/>
        <w:tabs>
          <w:tab w:leader="none" w:pos="1754"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various provisions set forth under this Certificate are for the benefit of the Holders and, subject to the terms and conditions hereof and applicable law, will be enforceable by them, including by one or more actions for specific performance.</w:t>
      </w:r>
    </w:p>
    <w:p>
      <w:pPr>
        <w:spacing w:after="0" w:line="147" w:lineRule="exact"/>
        <w:rPr>
          <w:rFonts w:ascii="Times New Roman" w:cs="Times New Roman" w:eastAsia="Times New Roman" w:hAnsi="Times New Roman"/>
          <w:sz w:val="20"/>
          <w:szCs w:val="20"/>
          <w:color w:val="auto"/>
        </w:rPr>
      </w:pPr>
    </w:p>
    <w:p>
      <w:pPr>
        <w:jc w:val="both"/>
        <w:ind w:left="-180" w:firstLine="1304"/>
        <w:spacing w:after="0" w:line="230" w:lineRule="auto"/>
        <w:tabs>
          <w:tab w:leader="none" w:pos="1752"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herein, all remedies available under this Certificate, at law, in equity or otherwise, will be deemed cumulative and not alternative or exclusive of other remedies. The exercise by any Holder of a particular remedy will not preclude the exercise of any other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500" w:top="1399" w:right="339" w:bottom="1440" w:gutter="0" w:footer="0" w:header="0"/>
        </w:sectPr>
      </w:pPr>
    </w:p>
    <w:bookmarkStart w:id="54" w:name="page55"/>
    <w:bookmarkEnd w:id="54"/>
    <w:p>
      <w:pPr>
        <w:ind w:left="1300" w:right="1940" w:hanging="644"/>
        <w:spacing w:after="0" w:line="457" w:lineRule="auto"/>
        <w:tabs>
          <w:tab w:leader="none" w:pos="13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As used in this Certificate, the following terms shall have the meanings specified below: “</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shall have the meaning assigned to such term in the recitals hereof.</w:t>
      </w:r>
    </w:p>
    <w:p>
      <w:pPr>
        <w:spacing w:after="0" w:line="2"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a Saturday, Sunday or any other day on which banking institutions in the State of New York are not open for the transaction of normal banking business.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shall have the meaning assigned to such term in the recitals hereof.</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Certificate of Incorporation</w:t>
      </w:r>
      <w:r>
        <w:rPr>
          <w:rFonts w:ascii="Times New Roman" w:cs="Times New Roman" w:eastAsia="Times New Roman" w:hAnsi="Times New Roman"/>
          <w:sz w:val="20"/>
          <w:szCs w:val="20"/>
          <w:color w:val="auto"/>
        </w:rPr>
        <w:t>” shall have the meaning assigned to such term in the recitals hereof.</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Price</w:t>
      </w:r>
      <w:r>
        <w:rPr>
          <w:rFonts w:ascii="Times New Roman" w:cs="Times New Roman" w:eastAsia="Times New Roman" w:hAnsi="Times New Roman"/>
          <w:sz w:val="20"/>
          <w:szCs w:val="20"/>
          <w:color w:val="auto"/>
        </w:rPr>
        <w:t>” means the last price at which the Common Stock of the Company traded at during a regular trading session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 given day.</w:t>
      </w:r>
    </w:p>
    <w:p>
      <w:pPr>
        <w:spacing w:after="0" w:line="207"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any shares of common stock, par value $0.0001, of the Company that are listed and traded on Nasdaq under the name and ticker “INV.”</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 Equivalents</w:t>
      </w:r>
      <w:r>
        <w:rPr>
          <w:rFonts w:ascii="Times New Roman" w:cs="Times New Roman" w:eastAsia="Times New Roman" w:hAnsi="Times New Roman"/>
          <w:sz w:val="20"/>
          <w:szCs w:val="20"/>
          <w:color w:val="auto"/>
        </w:rPr>
        <w:t>” means any securities of the Company or the subsidiaries of the Company, whether or not vested or otherwise convertible or exercisable into shares of Common Stock at the time of such issuance, which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 and excluding shares of Common Stock issuable upon conversion of the Series B Preferred Stock.</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shall have the meaning assigned to such term in the recitals hereof.</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Conversion Rate</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6(c)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Conversion Right</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6(b)(i)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Conversion Time</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6(b)(ii)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Dividend Payment Date</w:t>
      </w:r>
      <w:r>
        <w:rPr>
          <w:rFonts w:ascii="Times New Roman" w:cs="Times New Roman" w:eastAsia="Times New Roman" w:hAnsi="Times New Roman"/>
          <w:sz w:val="20"/>
          <w:szCs w:val="20"/>
          <w:color w:val="auto"/>
        </w:rPr>
        <w:t>” means the last day of the last quarter in each fiscal year of the Company (or, if such date is not a Business Day, the immediately succeeding Business Day), following the Initial Issue Date.</w:t>
      </w:r>
    </w:p>
    <w:p>
      <w:pPr>
        <w:spacing w:after="0" w:line="16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Dividend Period</w:t>
      </w:r>
      <w:r>
        <w:rPr>
          <w:rFonts w:ascii="Times New Roman" w:cs="Times New Roman" w:eastAsia="Times New Roman" w:hAnsi="Times New Roman"/>
          <w:sz w:val="20"/>
          <w:szCs w:val="20"/>
          <w:color w:val="auto"/>
        </w:rPr>
        <w:t xml:space="preserve">” means the period commencing on and including a Dividend Payment Date that ends on, but does not include, the next Dividend Payment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initial Dividend Period shall commence on and include the Initial Issue Date and end on, but not include, the first Dividend Payment Date.</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Dividend Rate</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4(b)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4(b)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Effectiveness Date</w:t>
      </w:r>
      <w:r>
        <w:rPr>
          <w:rFonts w:ascii="Times New Roman" w:cs="Times New Roman" w:eastAsia="Times New Roman" w:hAnsi="Times New Roman"/>
          <w:sz w:val="20"/>
          <w:szCs w:val="20"/>
          <w:color w:val="auto"/>
        </w:rPr>
        <w:t>” means, with respect to the Registration Statement, the date on which the Registration Statement is declared effective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99" w:right="339" w:bottom="1440" w:gutter="0" w:footer="0" w:header="0"/>
        </w:sectPr>
      </w:pPr>
    </w:p>
    <w:bookmarkStart w:id="55" w:name="page56"/>
    <w:bookmarkEnd w:id="55"/>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United States Securities Exchange Act of 1934, as amended.</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as in effect from time to time.</w:t>
      </w:r>
    </w:p>
    <w:p>
      <w:pPr>
        <w:spacing w:after="0" w:line="187"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means, as of the relevant date, any Person that is the holder of record of at least one share of Series B Preferred Stock, as of such date.</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Holder Conversion Right</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6(b)(i)</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Holders</w:t>
      </w:r>
      <w:r>
        <w:rPr>
          <w:rFonts w:ascii="Times New Roman" w:cs="Times New Roman" w:eastAsia="Times New Roman" w:hAnsi="Times New Roman"/>
          <w:sz w:val="20"/>
          <w:szCs w:val="20"/>
          <w:color w:val="auto"/>
        </w:rPr>
        <w:t xml:space="preserve">” means the Persons listed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attached hereto.</w:t>
      </w:r>
    </w:p>
    <w:p>
      <w:pPr>
        <w:spacing w:after="0" w:line="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Issue Date</w:t>
      </w:r>
      <w:r>
        <w:rPr>
          <w:rFonts w:ascii="Times New Roman" w:cs="Times New Roman" w:eastAsia="Times New Roman" w:hAnsi="Times New Roman"/>
          <w:sz w:val="20"/>
          <w:szCs w:val="20"/>
          <w:color w:val="auto"/>
        </w:rPr>
        <w:t>” means October 2, 2024.</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Agreement</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10(a)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Stock</w:t>
      </w:r>
      <w:r>
        <w:rPr>
          <w:rFonts w:ascii="Times New Roman" w:cs="Times New Roman" w:eastAsia="Times New Roman" w:hAnsi="Times New Roman"/>
          <w:sz w:val="20"/>
          <w:szCs w:val="20"/>
          <w:color w:val="auto"/>
        </w:rPr>
        <w:t>” means (i) Common Stock and (ii) any other preferred stock, other than the Series A Preferred Stock, if issued, and any other equity interest of the Company, in each case which by its terms ranks junior to the Series B Preferred Stock with respect to payment of dividends and/or distribution of assets.</w:t>
      </w:r>
    </w:p>
    <w:p>
      <w:pPr>
        <w:spacing w:after="0" w:line="161"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Liquidation Preference</w:t>
      </w:r>
      <w:r>
        <w:rPr>
          <w:rFonts w:ascii="Times New Roman" w:cs="Times New Roman" w:eastAsia="Times New Roman" w:hAnsi="Times New Roman"/>
          <w:sz w:val="20"/>
          <w:szCs w:val="20"/>
          <w:color w:val="auto"/>
        </w:rPr>
        <w:t>” means, with respect to a Holder, the Original Issue Price, multiplied by the number of shares of Series B Preferred Stock held by such Holder.</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Mandatory Conversion</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6(a)(i)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Mandatory Conversion Time</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6(a)(ii)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Price</w:t>
      </w:r>
      <w:r>
        <w:rPr>
          <w:rFonts w:ascii="Times New Roman" w:cs="Times New Roman" w:eastAsia="Times New Roman" w:hAnsi="Times New Roman"/>
          <w:sz w:val="20"/>
          <w:szCs w:val="20"/>
          <w:color w:val="auto"/>
        </w:rPr>
        <w:t>” shall have the meaning assigned to such term in Nasdaq Listing Rule 5635(d).</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Nasdaq</w:t>
      </w:r>
      <w:r>
        <w:rPr>
          <w:rFonts w:ascii="Times New Roman" w:cs="Times New Roman" w:eastAsia="Times New Roman" w:hAnsi="Times New Roman"/>
          <w:sz w:val="20"/>
          <w:szCs w:val="20"/>
          <w:color w:val="auto"/>
        </w:rPr>
        <w:t>” means the Nasdaq Stock Market.</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Nasdaq Official Closing Price</w:t>
      </w:r>
      <w:r>
        <w:rPr>
          <w:rFonts w:ascii="Times New Roman" w:cs="Times New Roman" w:eastAsia="Times New Roman" w:hAnsi="Times New Roman"/>
          <w:sz w:val="20"/>
          <w:szCs w:val="20"/>
          <w:color w:val="auto"/>
        </w:rPr>
        <w:t>” means the closing price for a share of Common Stock as reported on the “Historical NOCP” section of the web site Nasdaq.com for the ticker symbol “INV.”</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Original Issue Price</w:t>
      </w:r>
      <w:r>
        <w:rPr>
          <w:rFonts w:ascii="Times New Roman" w:cs="Times New Roman" w:eastAsia="Times New Roman" w:hAnsi="Times New Roman"/>
          <w:sz w:val="20"/>
          <w:szCs w:val="20"/>
          <w:color w:val="auto"/>
        </w:rPr>
        <w:t>” means $10.00 per share of Series B Preferred Stock.</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Parity Stock</w:t>
      </w:r>
      <w:r>
        <w:rPr>
          <w:rFonts w:ascii="Times New Roman" w:cs="Times New Roman" w:eastAsia="Times New Roman" w:hAnsi="Times New Roman"/>
          <w:sz w:val="20"/>
          <w:szCs w:val="20"/>
          <w:color w:val="auto"/>
        </w:rPr>
        <w:t>” means the Series A Preferred Stock, if issued, and any equity interest of the Company hereinafter created which by its terms ranks pari passu with the Series B Preferred Stock.</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individual, corporation, limited liability company, partnership (including limited partnership), joint venture, association, joint stock company, trust, unincorporated organization, government or any agency or political subdivision thereof or any other entity.</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Preferred Stock</w:t>
      </w:r>
      <w:r>
        <w:rPr>
          <w:rFonts w:ascii="Times New Roman" w:cs="Times New Roman" w:eastAsia="Times New Roman" w:hAnsi="Times New Roman"/>
          <w:sz w:val="20"/>
          <w:szCs w:val="20"/>
          <w:color w:val="auto"/>
        </w:rPr>
        <w:t>” shall have the meaning assigned to such term in the recitals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 Rights</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Redemption Date</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Redemption Notice</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6(b)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means the securities register maintained in respect of the Series B Preferred Stock by the Company, or, to the extent the Company has engaged a transfer agent, such transfer agent.</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xml:space="preserve">” means a registration statement registering the resale of the shares of Common Stock issued to each Holder upon conversion of such Holder’s shares of Series B Preferred Stock pursuant to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Requisite Stockholder Approval</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3(a)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Reset Conversion Price</w:t>
      </w:r>
      <w:r>
        <w:rPr>
          <w:rFonts w:ascii="Times New Roman" w:cs="Times New Roman" w:eastAsia="Times New Roman" w:hAnsi="Times New Roman"/>
          <w:sz w:val="20"/>
          <w:szCs w:val="20"/>
          <w:color w:val="auto"/>
        </w:rPr>
        <w:t>” means the greater of (a) $5.00 and (b) the 10-Trading Day volume-weighted average Closing Price of the Common Stock.</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United States Securities and Exchange Commission.</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w:t>
      </w:r>
      <w:r>
        <w:rPr>
          <w:rFonts w:ascii="Times New Roman" w:cs="Times New Roman" w:eastAsia="Times New Roman" w:hAnsi="Times New Roman"/>
          <w:sz w:val="20"/>
          <w:szCs w:val="20"/>
          <w:color w:val="auto"/>
        </w:rPr>
        <w:t xml:space="preserve">” means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“Securities” shall not include any earn-out agreement or obligation or any employee bonus or other incentive compensation plan or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 and the rules and regulations promulgated thereunder.</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Series A Preferred Stock</w:t>
      </w:r>
      <w:r>
        <w:rPr>
          <w:rFonts w:ascii="Times New Roman" w:cs="Times New Roman" w:eastAsia="Times New Roman" w:hAnsi="Times New Roman"/>
          <w:sz w:val="20"/>
          <w:szCs w:val="20"/>
          <w:color w:val="auto"/>
        </w:rPr>
        <w:t>” means any shares of preferred stock of the Company designated as “Series A Preferred Stock” with a par value of $0.0001.</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Series B Preferred Stock</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Stockholder Voting Power</w:t>
      </w:r>
      <w:r>
        <w:rPr>
          <w:rFonts w:ascii="Times New Roman" w:cs="Times New Roman" w:eastAsia="Times New Roman" w:hAnsi="Times New Roman"/>
          <w:sz w:val="20"/>
          <w:szCs w:val="20"/>
          <w:color w:val="auto"/>
        </w:rPr>
        <w:t>” means the aggregate number of votes which may be cast by holders of the Company’s Voting Stock, with the calculation of such aggregate number of votes being conclusively made for all purposes under this Certificate and the Certificate of Incorporation, absent manifest error, by the Company based on the Company’s review of the Register, the Company’s other books and records, each holder’s public filings pursuant to Section 13 or Section 16 of the Exchange Act and any other written evidence satisfactory to the Company regarding any holder’s beneficial ownership of any securities of the Company.</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Threshold Amount</w:t>
      </w:r>
      <w:r>
        <w:rPr>
          <w:rFonts w:ascii="Times New Roman" w:cs="Times New Roman" w:eastAsia="Times New Roman" w:hAnsi="Times New Roman"/>
          <w:sz w:val="20"/>
          <w:szCs w:val="20"/>
          <w:color w:val="auto"/>
        </w:rPr>
        <w:t>” means 19.99% of the number of shares of Common Stock outstanding immediately after giving effect to the issuance of shares of Common Stock pursuant to an applicable Conversion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Trading Day</w:t>
      </w:r>
      <w:r>
        <w:rPr>
          <w:rFonts w:ascii="Times New Roman" w:cs="Times New Roman" w:eastAsia="Times New Roman" w:hAnsi="Times New Roman"/>
          <w:sz w:val="20"/>
          <w:szCs w:val="20"/>
          <w:color w:val="auto"/>
        </w:rPr>
        <w:t>” means a day on which Nasdaq is open for trading.</w:t>
      </w:r>
    </w:p>
    <w:p>
      <w:pPr>
        <w:spacing w:after="0" w:line="229"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Stock</w:t>
      </w:r>
      <w:r>
        <w:rPr>
          <w:rFonts w:ascii="Times New Roman" w:cs="Times New Roman" w:eastAsia="Times New Roman" w:hAnsi="Times New Roman"/>
          <w:sz w:val="20"/>
          <w:szCs w:val="20"/>
          <w:color w:val="auto"/>
        </w:rPr>
        <w:t>” means the Common Stock, the Series B Preferred Stock and any other capital stock of the Company having the right to vote generally in any election of directors of the Board of Directors.</w:t>
      </w:r>
    </w:p>
    <w:p>
      <w:pPr>
        <w:spacing w:after="0" w:line="159"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Certificate (including the Schedules hereto) together with that certain Investment Agreement, dated as of the date hereof, entered into by and among the Company and the parties set forth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thereto (the “</w:t>
      </w:r>
      <w:r>
        <w:rPr>
          <w:rFonts w:ascii="Times New Roman" w:cs="Times New Roman" w:eastAsia="Times New Roman" w:hAnsi="Times New Roman"/>
          <w:sz w:val="20"/>
          <w:szCs w:val="20"/>
          <w:u w:val="single" w:color="auto"/>
          <w:color w:val="auto"/>
        </w:rPr>
        <w:t>Investment Agreement</w:t>
      </w:r>
      <w:r>
        <w:rPr>
          <w:rFonts w:ascii="Times New Roman" w:cs="Times New Roman" w:eastAsia="Times New Roman" w:hAnsi="Times New Roman"/>
          <w:sz w:val="20"/>
          <w:szCs w:val="20"/>
          <w:color w:val="auto"/>
        </w:rPr>
        <w:t>”), constitutes the full and entire understanding and agreement between the parties hereto with respect to the subject matter hereof, and any other written or oral agreement relating to the subject matter hereof existing between the parties are expressly canceled.</w:t>
      </w:r>
    </w:p>
    <w:p>
      <w:pPr>
        <w:spacing w:after="0" w:line="161" w:lineRule="exact"/>
        <w:rPr>
          <w:rFonts w:ascii="Times New Roman" w:cs="Times New Roman" w:eastAsia="Times New Roman" w:hAnsi="Times New Roman"/>
          <w:sz w:val="20"/>
          <w:szCs w:val="20"/>
          <w:color w:val="auto"/>
        </w:rPr>
      </w:pPr>
    </w:p>
    <w:p>
      <w:pPr>
        <w:ind w:firstLine="1304"/>
        <w:spacing w:after="0"/>
        <w:tabs>
          <w:tab w:leader="none" w:pos="1932"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terms defined herein may, unless the context otherwise requires, be used in the singular or the plural, depending on the reference.</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934"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headings are for convenience only and shall not be given effect in interpreting this Certificate. References herein to any Section shall be to a Section hereof unless otherwise specifically provided.</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herein to any law shall mean such law, including all rules and regulations promulgated under or implementing such law, as amended from time to time and any successor law unless otherwise specifically provided. Except as otherwise stated in this Certificate, references in this Certificate to any contract(s) or written agreement(s) shall mean such contract or written agreement as in effect on the Initial Issue Date, regardless of any subsequent replacement, refunding, refinancing, extension, renewal, restatement, amendment, supplement or modification thereof or thereto and regardless of whether the Company is, remains, was, or has ever been, a party thereto.</w:t>
      </w:r>
    </w:p>
    <w:p>
      <w:pPr>
        <w:spacing w:after="0" w:line="162" w:lineRule="exact"/>
        <w:rPr>
          <w:rFonts w:ascii="Times New Roman" w:cs="Times New Roman" w:eastAsia="Times New Roman" w:hAnsi="Times New Roman"/>
          <w:sz w:val="20"/>
          <w:szCs w:val="20"/>
          <w:color w:val="auto"/>
        </w:rPr>
      </w:pPr>
    </w:p>
    <w:p>
      <w:pPr>
        <w:ind w:right="20" w:firstLine="1304"/>
        <w:spacing w:after="0" w:line="233" w:lineRule="auto"/>
        <w:tabs>
          <w:tab w:leader="none" w:pos="1934"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words “hereof,” “herein” and “hereunder” and words of similar import, when used in this Certificate, refer to this Certificate as a whole (including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hereto) and not to any particular provision of this Certificate.</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939"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of the masculine, feminine or neuter gender or the singular or plural form of words shall not limit any provisions of this Certificate.</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932"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words “include,” “includes,” or “including” are used in this Agreement, they shall be deemed to be followed by the words “without limitation.”</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“will” shall be construed to have the same meaning as the word “shall.” With respect to the determination of any period of time, “from” shall mean “from and including.” The word “or” shall not be exclusive. The word “extent” in the phrase “to the extent” shall mean the degree to which a subject or other thing extends, and such phrase shall not mean simply “if.”</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to “$”, currency, monetary values and dollars set forth herein shall mean U.S. dollars.</w:t>
      </w:r>
    </w:p>
    <w:p>
      <w:pPr>
        <w:spacing w:after="0" w:line="175"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42"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terms of this Certificate refer to a specific agreement or other document or a decision by any body or Person that determines the meaning or operation of a provision hereof, the secretary of the Company shall maintain a copy of such agreement, document or decision at the principal executive offices of the Company and a copy thereof shall be provided free of charge to any Holder who makes a request therefor.</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Company notifies the Holders that the Company requests an amendment to any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color w:val="auto"/>
        </w:rPr>
        <w:t>hereof to eliminate the effect of any change occurring after the Initial Issue Date in GAAP or in the application thereof on the operation of</w:t>
      </w:r>
    </w:p>
    <w:p>
      <w:pPr>
        <w:ind w:right="20"/>
        <w:spacing w:after="0" w:line="204" w:lineRule="auto"/>
        <w:rPr>
          <w:sz w:val="20"/>
          <w:szCs w:val="20"/>
          <w:color w:val="auto"/>
        </w:rPr>
      </w:pPr>
      <w:r>
        <w:rPr>
          <w:rFonts w:ascii="Times New Roman" w:cs="Times New Roman" w:eastAsia="Times New Roman" w:hAnsi="Times New Roman"/>
          <w:sz w:val="20"/>
          <w:szCs w:val="20"/>
          <w:color w:val="auto"/>
        </w:rPr>
        <w:t>such provision, regardless of whether any such notice is given before or after such change in GAAP or in the application thereof, then such provision shall be interpreted on the basis of GAAP as in effect and applied immediately before such change shall have become effective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until such notice shall have been withdrawn or such provision amended in accordance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[REMAINDER OF PAGE LEFT BLANK INTENTIONALLY]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94" w:right="339" w:bottom="1440" w:gutter="0" w:footer="0" w:header="0"/>
        </w:sectPr>
      </w:pPr>
    </w:p>
    <w:bookmarkStart w:id="59" w:name="page60"/>
    <w:bookmarkEnd w:id="59"/>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Company has caused this Certificate to be signed by a duly authorized officer this 2nd day of October, 2024.</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6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INNVENTURE, INC.</w:t>
      </w:r>
    </w:p>
    <w:p>
      <w:pPr>
        <w:spacing w:after="0" w:line="200" w:lineRule="exact"/>
        <w:rPr>
          <w:sz w:val="20"/>
          <w:szCs w:val="20"/>
          <w:color w:val="auto"/>
        </w:rPr>
      </w:pPr>
    </w:p>
    <w:p>
      <w:pPr>
        <w:spacing w:after="0" w:line="28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Gregory W. Haskell</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Gregory W. Haskell</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B Certificate of Designation</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3" w:right="339" w:bottom="1440" w:gutter="0" w:footer="0" w:header="0"/>
        </w:sectPr>
      </w:pPr>
    </w:p>
    <w:bookmarkStart w:id="60" w:name="page61"/>
    <w:bookmarkEnd w:id="60"/>
    <w:p>
      <w:pPr>
        <w:jc w:val="center"/>
        <w:ind w:right="-920"/>
        <w:spacing w:after="0"/>
        <w:rPr>
          <w:sz w:val="20"/>
          <w:szCs w:val="20"/>
          <w:color w:val="auto"/>
        </w:rPr>
      </w:pPr>
      <w:r>
        <w:rPr>
          <w:rFonts w:ascii="Times New Roman" w:cs="Times New Roman" w:eastAsia="Times New Roman" w:hAnsi="Times New Roman"/>
          <w:sz w:val="20"/>
          <w:szCs w:val="20"/>
          <w:b w:val="1"/>
          <w:bCs w:val="1"/>
          <w:u w:val="single" w:color="auto"/>
          <w:color w:val="auto"/>
        </w:rPr>
        <w:t>Schedule I</w:t>
      </w:r>
    </w:p>
    <w:p>
      <w:pPr>
        <w:spacing w:after="0" w:line="229" w:lineRule="exact"/>
        <w:rPr>
          <w:sz w:val="20"/>
          <w:szCs w:val="20"/>
          <w:color w:val="auto"/>
        </w:rPr>
      </w:pPr>
    </w:p>
    <w:p>
      <w:pPr>
        <w:jc w:val="right"/>
        <w:ind w:right="3899"/>
        <w:spacing w:after="0"/>
        <w:rPr>
          <w:sz w:val="20"/>
          <w:szCs w:val="20"/>
          <w:color w:val="auto"/>
        </w:rPr>
      </w:pPr>
      <w:r>
        <w:rPr>
          <w:rFonts w:ascii="Times New Roman" w:cs="Times New Roman" w:eastAsia="Times New Roman" w:hAnsi="Times New Roman"/>
          <w:sz w:val="20"/>
          <w:szCs w:val="20"/>
          <w:b w:val="1"/>
          <w:bCs w:val="1"/>
          <w:color w:val="auto"/>
        </w:rPr>
        <w:t>Initial Holders</w:t>
      </w:r>
    </w:p>
    <w:p>
      <w:pPr>
        <w:spacing w:after="0" w:line="220" w:lineRule="exact"/>
        <w:rPr>
          <w:sz w:val="20"/>
          <w:szCs w:val="20"/>
          <w:color w:val="auto"/>
        </w:rPr>
      </w:pPr>
    </w:p>
    <w:p>
      <w:pPr>
        <w:ind w:left="480" w:hanging="328"/>
        <w:spacing w:after="0"/>
        <w:tabs>
          <w:tab w:leader="none" w:pos="4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Albert Aaron Berg and Ethel C. Mason Berg</w:t>
      </w:r>
    </w:p>
    <w:p>
      <w:pPr>
        <w:spacing w:after="0" w:line="121" w:lineRule="exact"/>
        <w:rPr>
          <w:rFonts w:ascii="Times New Roman" w:cs="Times New Roman" w:eastAsia="Times New Roman" w:hAnsi="Times New Roman"/>
          <w:sz w:val="20"/>
          <w:szCs w:val="20"/>
          <w:color w:val="auto"/>
        </w:rPr>
      </w:pPr>
    </w:p>
    <w:p>
      <w:pPr>
        <w:ind w:left="480" w:hanging="328"/>
        <w:spacing w:after="0"/>
        <w:tabs>
          <w:tab w:leader="none" w:pos="4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Anthony Bradshaw and Kelly Bradshaw</w:t>
      </w:r>
    </w:p>
    <w:p>
      <w:pPr>
        <w:spacing w:after="0" w:line="107" w:lineRule="exact"/>
        <w:rPr>
          <w:rFonts w:ascii="Times New Roman" w:cs="Times New Roman" w:eastAsia="Times New Roman" w:hAnsi="Times New Roman"/>
          <w:sz w:val="20"/>
          <w:szCs w:val="20"/>
          <w:color w:val="auto"/>
        </w:rPr>
      </w:pPr>
    </w:p>
    <w:p>
      <w:pPr>
        <w:ind w:left="480" w:hanging="328"/>
        <w:spacing w:after="0"/>
        <w:tabs>
          <w:tab w:leader="none" w:pos="4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Brentton Lindsey</w:t>
      </w:r>
    </w:p>
    <w:p>
      <w:pPr>
        <w:spacing w:after="0" w:line="121" w:lineRule="exact"/>
        <w:rPr>
          <w:rFonts w:ascii="Times New Roman" w:cs="Times New Roman" w:eastAsia="Times New Roman" w:hAnsi="Times New Roman"/>
          <w:sz w:val="20"/>
          <w:szCs w:val="20"/>
          <w:color w:val="auto"/>
        </w:rPr>
      </w:pPr>
    </w:p>
    <w:p>
      <w:pPr>
        <w:ind w:left="480" w:hanging="328"/>
        <w:spacing w:after="0"/>
        <w:tabs>
          <w:tab w:leader="none" w:pos="4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Charles Alan Runyan</w:t>
      </w:r>
    </w:p>
    <w:p>
      <w:pPr>
        <w:spacing w:after="0" w:line="121" w:lineRule="exact"/>
        <w:rPr>
          <w:rFonts w:ascii="Times New Roman" w:cs="Times New Roman" w:eastAsia="Times New Roman" w:hAnsi="Times New Roman"/>
          <w:sz w:val="20"/>
          <w:szCs w:val="20"/>
          <w:color w:val="auto"/>
        </w:rPr>
      </w:pPr>
    </w:p>
    <w:p>
      <w:pPr>
        <w:ind w:left="480" w:hanging="328"/>
        <w:spacing w:after="0"/>
        <w:tabs>
          <w:tab w:leader="none" w:pos="4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Christopher Corley</w:t>
      </w:r>
    </w:p>
    <w:p>
      <w:pPr>
        <w:spacing w:after="0" w:line="107" w:lineRule="exact"/>
        <w:rPr>
          <w:rFonts w:ascii="Times New Roman" w:cs="Times New Roman" w:eastAsia="Times New Roman" w:hAnsi="Times New Roman"/>
          <w:sz w:val="20"/>
          <w:szCs w:val="20"/>
          <w:color w:val="auto"/>
        </w:rPr>
      </w:pPr>
    </w:p>
    <w:p>
      <w:pPr>
        <w:ind w:left="480" w:hanging="328"/>
        <w:spacing w:after="0"/>
        <w:tabs>
          <w:tab w:leader="none" w:pos="4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Clifton Simmons</w:t>
      </w:r>
    </w:p>
    <w:p>
      <w:pPr>
        <w:spacing w:after="0" w:line="121" w:lineRule="exact"/>
        <w:rPr>
          <w:rFonts w:ascii="Times New Roman" w:cs="Times New Roman" w:eastAsia="Times New Roman" w:hAnsi="Times New Roman"/>
          <w:sz w:val="20"/>
          <w:szCs w:val="20"/>
          <w:color w:val="auto"/>
        </w:rPr>
      </w:pPr>
    </w:p>
    <w:p>
      <w:pPr>
        <w:ind w:left="480" w:hanging="328"/>
        <w:spacing w:after="0"/>
        <w:tabs>
          <w:tab w:leader="none" w:pos="4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 Chi Lim</w:t>
      </w:r>
    </w:p>
    <w:p>
      <w:pPr>
        <w:spacing w:after="0" w:line="107" w:lineRule="exact"/>
        <w:rPr>
          <w:rFonts w:ascii="Times New Roman" w:cs="Times New Roman" w:eastAsia="Times New Roman" w:hAnsi="Times New Roman"/>
          <w:sz w:val="20"/>
          <w:szCs w:val="20"/>
          <w:color w:val="auto"/>
        </w:rPr>
      </w:pPr>
    </w:p>
    <w:p>
      <w:pPr>
        <w:ind w:left="480" w:hanging="328"/>
        <w:spacing w:after="0"/>
        <w:tabs>
          <w:tab w:leader="none" w:pos="4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Frank M Shaw</w:t>
      </w:r>
    </w:p>
    <w:p>
      <w:pPr>
        <w:spacing w:after="0" w:line="121" w:lineRule="exact"/>
        <w:rPr>
          <w:rFonts w:ascii="Times New Roman" w:cs="Times New Roman" w:eastAsia="Times New Roman" w:hAnsi="Times New Roman"/>
          <w:sz w:val="20"/>
          <w:szCs w:val="20"/>
          <w:color w:val="auto"/>
        </w:rPr>
      </w:pPr>
    </w:p>
    <w:p>
      <w:pPr>
        <w:ind w:left="480" w:hanging="328"/>
        <w:spacing w:after="0"/>
        <w:tabs>
          <w:tab w:leader="none" w:pos="4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Gabriel Eljach</w:t>
      </w:r>
    </w:p>
    <w:p>
      <w:pPr>
        <w:spacing w:after="0" w:line="121" w:lineRule="exact"/>
        <w:rPr>
          <w:rFonts w:ascii="Times New Roman" w:cs="Times New Roman" w:eastAsia="Times New Roman" w:hAnsi="Times New Roman"/>
          <w:sz w:val="20"/>
          <w:szCs w:val="20"/>
          <w:color w:val="auto"/>
        </w:rPr>
      </w:pPr>
    </w:p>
    <w:p>
      <w:pPr>
        <w:ind w:left="460" w:hanging="308"/>
        <w:spacing w:after="0"/>
        <w:tabs>
          <w:tab w:leader="none" w:pos="4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James Nathan Galbreath</w:t>
      </w:r>
    </w:p>
    <w:p>
      <w:pPr>
        <w:spacing w:after="0" w:line="107" w:lineRule="exact"/>
        <w:rPr>
          <w:rFonts w:ascii="Times New Roman" w:cs="Times New Roman" w:eastAsia="Times New Roman" w:hAnsi="Times New Roman"/>
          <w:sz w:val="20"/>
          <w:szCs w:val="20"/>
          <w:color w:val="auto"/>
        </w:rPr>
      </w:pPr>
    </w:p>
    <w:p>
      <w:pPr>
        <w:ind w:left="460" w:hanging="308"/>
        <w:spacing w:after="0"/>
        <w:tabs>
          <w:tab w:leader="none" w:pos="4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Javid Mu'az Baksh Living Trust</w:t>
      </w:r>
    </w:p>
    <w:p>
      <w:pPr>
        <w:spacing w:after="0" w:line="121" w:lineRule="exact"/>
        <w:rPr>
          <w:rFonts w:ascii="Times New Roman" w:cs="Times New Roman" w:eastAsia="Times New Roman" w:hAnsi="Times New Roman"/>
          <w:sz w:val="20"/>
          <w:szCs w:val="20"/>
          <w:color w:val="auto"/>
        </w:rPr>
      </w:pPr>
    </w:p>
    <w:p>
      <w:pPr>
        <w:ind w:left="460" w:hanging="308"/>
        <w:spacing w:after="0"/>
        <w:tabs>
          <w:tab w:leader="none" w:pos="4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Kaitlan Hawkins</w:t>
      </w:r>
    </w:p>
    <w:p>
      <w:pPr>
        <w:spacing w:after="0" w:line="107" w:lineRule="exact"/>
        <w:rPr>
          <w:rFonts w:ascii="Times New Roman" w:cs="Times New Roman" w:eastAsia="Times New Roman" w:hAnsi="Times New Roman"/>
          <w:sz w:val="20"/>
          <w:szCs w:val="20"/>
          <w:color w:val="auto"/>
        </w:rPr>
      </w:pPr>
    </w:p>
    <w:p>
      <w:pPr>
        <w:ind w:left="460" w:hanging="308"/>
        <w:spacing w:after="0"/>
        <w:tabs>
          <w:tab w:leader="none" w:pos="4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Matthew Sellers and Holly Sellers</w:t>
      </w:r>
    </w:p>
    <w:p>
      <w:pPr>
        <w:spacing w:after="0" w:line="121" w:lineRule="exact"/>
        <w:rPr>
          <w:rFonts w:ascii="Times New Roman" w:cs="Times New Roman" w:eastAsia="Times New Roman" w:hAnsi="Times New Roman"/>
          <w:sz w:val="20"/>
          <w:szCs w:val="20"/>
          <w:color w:val="auto"/>
        </w:rPr>
      </w:pPr>
    </w:p>
    <w:p>
      <w:pPr>
        <w:ind w:left="460" w:hanging="308"/>
        <w:spacing w:after="0"/>
        <w:tabs>
          <w:tab w:leader="none" w:pos="4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Rakeshdeep Dhillon</w:t>
      </w:r>
    </w:p>
    <w:p>
      <w:pPr>
        <w:spacing w:after="0" w:line="121" w:lineRule="exact"/>
        <w:rPr>
          <w:rFonts w:ascii="Times New Roman" w:cs="Times New Roman" w:eastAsia="Times New Roman" w:hAnsi="Times New Roman"/>
          <w:sz w:val="20"/>
          <w:szCs w:val="20"/>
          <w:color w:val="auto"/>
        </w:rPr>
      </w:pPr>
    </w:p>
    <w:p>
      <w:pPr>
        <w:ind w:left="460" w:hanging="308"/>
        <w:spacing w:after="0"/>
        <w:tabs>
          <w:tab w:leader="none" w:pos="4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SP3 Investments LLC</w:t>
      </w:r>
    </w:p>
    <w:p>
      <w:pPr>
        <w:spacing w:after="0" w:line="107" w:lineRule="exact"/>
        <w:rPr>
          <w:rFonts w:ascii="Times New Roman" w:cs="Times New Roman" w:eastAsia="Times New Roman" w:hAnsi="Times New Roman"/>
          <w:sz w:val="20"/>
          <w:szCs w:val="20"/>
          <w:color w:val="auto"/>
        </w:rPr>
      </w:pPr>
    </w:p>
    <w:p>
      <w:pPr>
        <w:ind w:left="460" w:hanging="308"/>
        <w:spacing w:after="0"/>
        <w:tabs>
          <w:tab w:leader="none" w:pos="4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Irrevocable Aloha Trust</w:t>
      </w:r>
    </w:p>
    <w:p>
      <w:pPr>
        <w:spacing w:after="0" w:line="121" w:lineRule="exact"/>
        <w:rPr>
          <w:rFonts w:ascii="Times New Roman" w:cs="Times New Roman" w:eastAsia="Times New Roman" w:hAnsi="Times New Roman"/>
          <w:sz w:val="20"/>
          <w:szCs w:val="20"/>
          <w:color w:val="auto"/>
        </w:rPr>
      </w:pPr>
    </w:p>
    <w:p>
      <w:pPr>
        <w:ind w:left="460" w:hanging="308"/>
        <w:spacing w:after="0"/>
        <w:tabs>
          <w:tab w:leader="none" w:pos="4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Vikash Patel</w:t>
      </w:r>
    </w:p>
    <w:p>
      <w:pPr>
        <w:spacing w:after="0" w:line="107" w:lineRule="exact"/>
        <w:rPr>
          <w:rFonts w:ascii="Times New Roman" w:cs="Times New Roman" w:eastAsia="Times New Roman" w:hAnsi="Times New Roman"/>
          <w:sz w:val="20"/>
          <w:szCs w:val="20"/>
          <w:color w:val="auto"/>
        </w:rPr>
      </w:pPr>
    </w:p>
    <w:p>
      <w:pPr>
        <w:ind w:left="460" w:hanging="308"/>
        <w:spacing w:after="0"/>
        <w:tabs>
          <w:tab w:leader="none" w:pos="4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WILLIAM J STEPHAN REVOCABLE TR</w:t>
      </w:r>
    </w:p>
    <w:p>
      <w:pPr>
        <w:spacing w:after="0" w:line="121" w:lineRule="exact"/>
        <w:rPr>
          <w:rFonts w:ascii="Times New Roman" w:cs="Times New Roman" w:eastAsia="Times New Roman" w:hAnsi="Times New Roman"/>
          <w:sz w:val="20"/>
          <w:szCs w:val="20"/>
          <w:color w:val="auto"/>
        </w:rPr>
      </w:pPr>
    </w:p>
    <w:p>
      <w:pPr>
        <w:ind w:left="460" w:hanging="308"/>
        <w:spacing w:after="0"/>
        <w:tabs>
          <w:tab w:leader="none" w:pos="4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Michael Haughton and Kristin Haughten</w:t>
      </w:r>
    </w:p>
    <w:p>
      <w:pPr>
        <w:spacing w:after="0" w:line="107" w:lineRule="exact"/>
        <w:rPr>
          <w:rFonts w:ascii="Times New Roman" w:cs="Times New Roman" w:eastAsia="Times New Roman" w:hAnsi="Times New Roman"/>
          <w:sz w:val="20"/>
          <w:szCs w:val="20"/>
          <w:color w:val="auto"/>
        </w:rPr>
      </w:pPr>
    </w:p>
    <w:p>
      <w:pPr>
        <w:ind w:left="460" w:hanging="308"/>
        <w:spacing w:after="0"/>
        <w:tabs>
          <w:tab w:leader="none" w:pos="4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Commonwealth Asset Management LP</w:t>
      </w:r>
    </w:p>
    <w:p>
      <w:pPr>
        <w:spacing w:after="0" w:line="121" w:lineRule="exact"/>
        <w:rPr>
          <w:rFonts w:ascii="Times New Roman" w:cs="Times New Roman" w:eastAsia="Times New Roman" w:hAnsi="Times New Roman"/>
          <w:sz w:val="20"/>
          <w:szCs w:val="20"/>
          <w:color w:val="auto"/>
        </w:rPr>
      </w:pPr>
    </w:p>
    <w:p>
      <w:pPr>
        <w:ind w:left="460" w:hanging="308"/>
        <w:spacing w:after="0"/>
        <w:tabs>
          <w:tab w:leader="none" w:pos="4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TDC Ventures,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959"/>
          </w:cols>
          <w:pgMar w:left="500" w:top="1409" w:right="1440"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W. Haskell, certify that:</w:t>
      </w:r>
    </w:p>
    <w:p>
      <w:pPr>
        <w:spacing w:after="0" w:line="252"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Innventure, Inc.;</w:t>
      </w:r>
    </w:p>
    <w:p>
      <w:pPr>
        <w:spacing w:after="0" w:line="252" w:lineRule="exact"/>
        <w:rPr>
          <w:rFonts w:ascii="Times New Roman" w:cs="Times New Roman" w:eastAsia="Times New Roman" w:hAnsi="Times New Roman"/>
          <w:sz w:val="18"/>
          <w:szCs w:val="18"/>
          <w:color w:val="auto"/>
        </w:rPr>
      </w:pPr>
    </w:p>
    <w:p>
      <w:pPr>
        <w:ind w:left="660" w:right="60" w:hanging="4"/>
        <w:spacing w:after="0" w:line="266"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40" w:hanging="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80" w:hanging="4"/>
        <w:spacing w:after="0" w:line="276" w:lineRule="auto"/>
        <w:tabs>
          <w:tab w:leader="none" w:pos="97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7"/>
          <w:szCs w:val="17"/>
          <w:color w:val="auto"/>
        </w:rPr>
      </w:pPr>
    </w:p>
    <w:p>
      <w:pPr>
        <w:ind w:left="1300" w:right="120" w:firstLine="4"/>
        <w:spacing w:after="0" w:line="266" w:lineRule="auto"/>
        <w:tabs>
          <w:tab w:leader="none" w:pos="15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40" w:hanging="4"/>
        <w:spacing w:after="0" w:line="312" w:lineRule="auto"/>
        <w:tabs>
          <w:tab w:leader="none" w:pos="97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Times New Roman" w:cs="Times New Roman" w:eastAsia="Times New Roman" w:hAnsi="Times New Roman"/>
          <w:sz w:val="17"/>
          <w:szCs w:val="17"/>
          <w:color w:val="auto"/>
        </w:rPr>
      </w:pPr>
    </w:p>
    <w:p>
      <w:pPr>
        <w:ind w:left="1300" w:right="200" w:firstLine="4"/>
        <w:spacing w:after="0" w:line="282" w:lineRule="auto"/>
        <w:tabs>
          <w:tab w:leader="none" w:pos="15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480" w:firstLine="4"/>
        <w:spacing w:after="0" w:line="282" w:lineRule="auto"/>
        <w:tabs>
          <w:tab w:leader="none" w:pos="155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2"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2025</w:t>
      </w:r>
    </w:p>
    <w:p>
      <w:pPr>
        <w:spacing w:after="0" w:line="25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21"/>
          <w:szCs w:val="21"/>
          <w:color w:val="auto"/>
        </w:rPr>
        <w:t>/s/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-6985</wp:posOffset>
            </wp:positionV>
            <wp:extent cx="25450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254508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W. Haskell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22"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Yablunosky, certify that:</w:t>
      </w:r>
    </w:p>
    <w:p>
      <w:pPr>
        <w:spacing w:after="0" w:line="252"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Innventure, Inc.;</w:t>
      </w:r>
    </w:p>
    <w:p>
      <w:pPr>
        <w:spacing w:after="0" w:line="252" w:lineRule="exact"/>
        <w:rPr>
          <w:rFonts w:ascii="Times New Roman" w:cs="Times New Roman" w:eastAsia="Times New Roman" w:hAnsi="Times New Roman"/>
          <w:sz w:val="18"/>
          <w:szCs w:val="18"/>
          <w:color w:val="auto"/>
        </w:rPr>
      </w:pPr>
    </w:p>
    <w:p>
      <w:pPr>
        <w:ind w:left="660" w:right="60" w:hanging="4"/>
        <w:spacing w:after="0" w:line="266"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40" w:hanging="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80" w:hanging="4"/>
        <w:spacing w:after="0" w:line="276" w:lineRule="auto"/>
        <w:tabs>
          <w:tab w:leader="none" w:pos="97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7"/>
          <w:szCs w:val="17"/>
          <w:color w:val="auto"/>
        </w:rPr>
      </w:pPr>
    </w:p>
    <w:p>
      <w:pPr>
        <w:ind w:left="1300" w:right="120" w:firstLine="4"/>
        <w:spacing w:after="0" w:line="266" w:lineRule="auto"/>
        <w:tabs>
          <w:tab w:leader="none" w:pos="154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40" w:hanging="4"/>
        <w:spacing w:after="0" w:line="312" w:lineRule="auto"/>
        <w:tabs>
          <w:tab w:leader="none" w:pos="97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Times New Roman" w:cs="Times New Roman" w:eastAsia="Times New Roman" w:hAnsi="Times New Roman"/>
          <w:sz w:val="17"/>
          <w:szCs w:val="17"/>
          <w:color w:val="auto"/>
        </w:rPr>
      </w:pPr>
    </w:p>
    <w:p>
      <w:pPr>
        <w:ind w:left="1300" w:right="200" w:firstLine="4"/>
        <w:spacing w:after="0" w:line="282" w:lineRule="auto"/>
        <w:tabs>
          <w:tab w:leader="none" w:pos="154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480" w:firstLine="4"/>
        <w:spacing w:after="0" w:line="282" w:lineRule="auto"/>
        <w:tabs>
          <w:tab w:leader="none" w:pos="155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2"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2025</w:t>
      </w:r>
    </w:p>
    <w:p>
      <w:pPr>
        <w:spacing w:after="0" w:line="25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21"/>
          <w:szCs w:val="21"/>
          <w:color w:val="auto"/>
        </w:rPr>
        <w:t>/s/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-6985</wp:posOffset>
            </wp:positionV>
            <wp:extent cx="24390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243903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Yablunosky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22"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5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Innventure, Inc. (the “Company”) on Form 10-Q for the three months ended March 31, 2025 (the “Report”), Gregory W. Haskell, Chief Executive Officer of the Company, certifies, to the best of his knowledge, pursuant to 18 U.S.C. Section 1350, as adopted pursuant to Section 906 of the Sarbanes-Oxley Act of 2002, that:</w:t>
      </w:r>
    </w:p>
    <w:p>
      <w:pPr>
        <w:spacing w:after="0" w:line="203" w:lineRule="exact"/>
        <w:rPr>
          <w:sz w:val="20"/>
          <w:szCs w:val="20"/>
          <w:color w:val="auto"/>
        </w:rPr>
      </w:pPr>
    </w:p>
    <w:p>
      <w:pPr>
        <w:ind w:left="400" w:hanging="392"/>
        <w:spacing w:after="0"/>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2025</w:t>
      </w:r>
    </w:p>
    <w:p>
      <w:pPr>
        <w:spacing w:after="0" w:line="25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22"/>
          <w:szCs w:val="22"/>
          <w:color w:val="auto"/>
        </w:rPr>
        <w:t>/s/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-13970</wp:posOffset>
            </wp:positionV>
            <wp:extent cx="24593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245935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Gregory W. Haskell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22"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Innventure, Inc. (the “Company”) on Form 10-Q for the three months ended March 31, 2025 (the “Report”), David Yablunosky, Chief Financial Officer of the Company, certifies, to the best of his knowledge, pursuant to 18 U.S.C. Section 1350, as adopted pursuant to Section 906 of the Sarbanes-Oxley Act of 2002, that:</w:t>
      </w:r>
    </w:p>
    <w:p>
      <w:pPr>
        <w:spacing w:after="0" w:line="203" w:lineRule="exact"/>
        <w:rPr>
          <w:sz w:val="20"/>
          <w:szCs w:val="20"/>
          <w:color w:val="auto"/>
        </w:rPr>
      </w:pPr>
    </w:p>
    <w:p>
      <w:pPr>
        <w:ind w:left="400" w:hanging="392"/>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2025</w:t>
      </w:r>
    </w:p>
    <w:p>
      <w:pPr>
        <w:spacing w:after="0" w:line="25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22"/>
          <w:szCs w:val="22"/>
          <w:color w:val="auto"/>
        </w:rPr>
        <w:t>/s/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-13970</wp:posOffset>
            </wp:positionV>
            <wp:extent cx="23533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235331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David Yablunosky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3">
    <w:nsid w:val="721DA317"/>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2"/>
    </w:lvl>
  </w:abstractNum>
  <w:abstractNum w:abstractNumId="14">
    <w:nsid w:val="2443A85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5">
    <w:nsid w:val="2D1D5AE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6">
    <w:nsid w:val="6763845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7">
    <w:nsid w:val="75A2A8D4"/>
    <w:multiLevelType w:val="hybridMultilevel"/>
    <w:lvl w:ilvl="0">
      <w:lvlJc w:val="left"/>
      <w:lvlText w:val="(%1)"/>
      <w:numFmt w:val="lowerLetter"/>
      <w:start w:val="2"/>
    </w:lvl>
  </w:abstractNum>
  <w:abstractNum w:abstractNumId="18">
    <w:nsid w:val="8EDBDAB"/>
    <w:multiLevelType w:val="hybridMultilevel"/>
    <w:lvl w:ilvl="0">
      <w:lvlJc w:val="left"/>
      <w:lvlText w:val="(%1)"/>
      <w:numFmt w:val="lowerRoman"/>
      <w:start w:val="1"/>
    </w:lvl>
  </w:abstractNum>
  <w:abstractNum w:abstractNumId="19">
    <w:nsid w:val="79838CB2"/>
    <w:multiLevelType w:val="hybridMultilevel"/>
    <w:lvl w:ilvl="0">
      <w:lvlJc w:val="left"/>
      <w:lvlText w:val="%1"/>
      <w:numFmt w:val="lowerLetter"/>
      <w:start w:val="1"/>
    </w:lvl>
    <w:lvl w:ilvl="1">
      <w:lvlJc w:val="left"/>
      <w:lvlText w:val="(%2)"/>
      <w:numFmt w:val="lowerLetter"/>
      <w:start w:val="35"/>
    </w:lvl>
  </w:abstractNum>
  <w:abstractNum w:abstractNumId="20">
    <w:nsid w:val="4353D0CD"/>
    <w:multiLevelType w:val="hybridMultilevel"/>
    <w:lvl w:ilvl="0">
      <w:lvlJc w:val="left"/>
      <w:lvlText w:val="(%1)"/>
      <w:numFmt w:val="lowerLetter"/>
      <w:start w:val="3"/>
    </w:lvl>
    <w:lvl w:ilvl="1">
      <w:lvlJc w:val="left"/>
      <w:lvlText w:val="%2"/>
      <w:numFmt w:val="lowerLetter"/>
      <w:start w:val="1"/>
    </w:lvl>
  </w:abstractNum>
  <w:abstractNum w:abstractNumId="21">
    <w:nsid w:val="B03E0C6"/>
    <w:multiLevelType w:val="hybridMultilevel"/>
    <w:lvl w:ilvl="0">
      <w:lvlJc w:val="left"/>
      <w:lvlText w:val="%1"/>
      <w:numFmt w:val="decimal"/>
      <w:start w:val="1"/>
    </w:lvl>
    <w:lvl w:ilvl="1">
      <w:lvlJc w:val="left"/>
      <w:lvlText w:val="(%2)"/>
      <w:numFmt w:val="lowerLetter"/>
      <w:start w:val="5"/>
    </w:lvl>
  </w:abstractNum>
  <w:abstractNum w:abstractNumId="22">
    <w:nsid w:val="189A769B"/>
    <w:multiLevelType w:val="hybridMultilevel"/>
    <w:lvl w:ilvl="0">
      <w:lvlJc w:val="left"/>
      <w:lvlText w:val="%1."/>
      <w:numFmt w:val="decimal"/>
      <w:start w:val="7"/>
    </w:lvl>
    <w:lvl w:ilvl="1">
      <w:lvlJc w:val="left"/>
      <w:lvlText w:val="(%2)"/>
      <w:numFmt w:val="lowerLetter"/>
      <w:start w:val="1"/>
    </w:lvl>
  </w:abstractNum>
  <w:abstractNum w:abstractNumId="23">
    <w:nsid w:val="54E49EB4"/>
    <w:multiLevelType w:val="hybridMultilevel"/>
    <w:lvl w:ilvl="0">
      <w:lvlJc w:val="left"/>
      <w:lvlText w:val="%1."/>
      <w:numFmt w:val="decimal"/>
      <w:start w:val="9"/>
    </w:lvl>
  </w:abstractNum>
  <w:abstractNum w:abstractNumId="24">
    <w:nsid w:val="71F32454"/>
    <w:multiLevelType w:val="hybridMultilevel"/>
    <w:lvl w:ilvl="0">
      <w:lvlJc w:val="left"/>
      <w:lvlText w:val="%1."/>
      <w:numFmt w:val="decimal"/>
      <w:start w:val="10"/>
    </w:lvl>
    <w:lvl w:ilvl="1">
      <w:lvlJc w:val="left"/>
      <w:lvlText w:val="(%2)"/>
      <w:numFmt w:val="lowerLetter"/>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67" Type="http://schemas.openxmlformats.org/officeDocument/2006/relationships/hyperlink" Target="https://www.sec.gov/Archives/edgar/data/2001557/000114036124040480/ny20012992x29_s4a.htm#tANNEXA" TargetMode="External"/><Relationship Id="rId68" Type="http://schemas.openxmlformats.org/officeDocument/2006/relationships/hyperlink" Target="https://www.sec.gov/Archives/edgar/data/2001557/000114036124043179/ef20036737_ex3-1.htm" TargetMode="External"/><Relationship Id="rId69" Type="http://schemas.openxmlformats.org/officeDocument/2006/relationships/hyperlink" Target="https://www.sec.gov/Archives/edgar/data/2001557/000114036124043179/ef20036737_ex3-2.htm" TargetMode="External"/><Relationship Id="rId70" Type="http://schemas.openxmlformats.org/officeDocument/2006/relationships/hyperlink" Target="https://www.sec.gov/Archives/edgar/data/2001557/000114036125010165/ef20045914_ex3-1.htm" TargetMode="External"/><Relationship Id="rId71" Type="http://schemas.openxmlformats.org/officeDocument/2006/relationships/hyperlink" Target="https://www.sec.gov/ix?doc=/Archives/edgar/data/0002001557/000162828025017703/inv-20250414.htm" TargetMode="External"/><Relationship Id="rId72" Type="http://schemas.openxmlformats.org/officeDocument/2006/relationships/hyperlink" Target="https://www.sec.gov/Archives/edgar/data/2001557/000114036125010165/ef20045914_ex10-1.htm" TargetMode="External"/><Relationship Id="rId73" Type="http://schemas.openxmlformats.org/officeDocument/2006/relationships/hyperlink" Target="https://www.sec.gov/Archives/edgar/data/2001557/000114036125010165/ef20045914_ex10-2.htm" TargetMode="External"/><Relationship Id="rId74" Type="http://schemas.openxmlformats.org/officeDocument/2006/relationships/hyperlink" Target="https://www.sec.gov/Archives/edgar/data/2001557/000114036125010165/ef20045914_ex10-3.htm" TargetMode="External"/><Relationship Id="rId75" Type="http://schemas.openxmlformats.org/officeDocument/2006/relationships/hyperlink" Target="https://www.sec.gov/Archives/edgar/data/2001557/000114036125010344/ef20045913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2025-05-15T15:22:32Z</dcterms:created>
  <dcterms:modified xsi:type="dcterms:W3CDTF">2025-05-15T15:22:32Z</dcterms:modified>
</cp:coreProperties>
</file>