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For the transition period from to </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001-42303</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180"/>
        <w:ind w:left="0" w:right="0" w:firstLine="360"/>
        <w:jc w:val="center"/>
        <w:rPr>
          <w:rFonts w:ascii="Times New Roman;serif" w:hAnsi="Times New Roman;serif"/>
          <w:b/>
          <w:color w:val="000000"/>
          <w:sz w:val="36"/>
        </w:rPr>
      </w:pPr>
      <w:r>
        <w:rPr>
          <w:rFonts w:ascii="Times New Roman;serif" w:hAnsi="Times New Roman;serif"/>
          <w:b/>
          <w:color w:val="000000"/>
          <w:sz w:val="36"/>
        </w:rPr>
        <w:t>INNVENTURE,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tbl>
      <w:tblPr>
        <w:tblW w:w="6584" w:type="dxa"/>
        <w:jc w:val="left"/>
        <w:tblInd w:w="0" w:type="dxa"/>
        <w:tblLayout w:type="fixed"/>
        <w:tblCellMar>
          <w:top w:w="28" w:type="dxa"/>
          <w:left w:w="28" w:type="dxa"/>
          <w:bottom w:w="28" w:type="dxa"/>
          <w:right w:w="28" w:type="dxa"/>
        </w:tblCellMar>
      </w:tblPr>
      <w:tblGrid>
        <w:gridCol w:w="1285"/>
        <w:gridCol w:w="1129"/>
        <w:gridCol w:w="1141"/>
        <w:gridCol w:w="884"/>
        <w:gridCol w:w="884"/>
        <w:gridCol w:w="1261"/>
      </w:tblGrid>
      <w:tr>
        <w:trPr/>
        <w:tc>
          <w:tcPr>
            <w:tcW w:w="128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93-4440048</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 organization</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6900 Tavistock Lakes Blvd, Suite 400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Orlando, Florida</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32827</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(321) 209-6787</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29" w:type="dxa"/>
        <w:jc w:val="left"/>
        <w:tblInd w:w="0" w:type="dxa"/>
        <w:tblLayout w:type="fixed"/>
        <w:tblCellMar>
          <w:top w:w="28" w:type="dxa"/>
          <w:left w:w="28" w:type="dxa"/>
          <w:bottom w:w="28" w:type="dxa"/>
          <w:right w:w="28" w:type="dxa"/>
        </w:tblCellMar>
      </w:tblPr>
      <w:tblGrid>
        <w:gridCol w:w="1342"/>
        <w:gridCol w:w="1174"/>
        <w:gridCol w:w="1189"/>
        <w:gridCol w:w="539"/>
        <w:gridCol w:w="539"/>
        <w:gridCol w:w="541"/>
        <w:gridCol w:w="1085"/>
        <w:gridCol w:w="1085"/>
        <w:gridCol w:w="1535"/>
      </w:tblGrid>
      <w:tr>
        <w:trPr/>
        <w:tc>
          <w:tcPr>
            <w:tcW w:w="1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INV</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18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80"/>
        <w:ind w:left="0" w:right="0" w:firstLine="36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18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20" w:type="dxa"/>
        <w:jc w:val="left"/>
        <w:tblInd w:w="0" w:type="dxa"/>
        <w:tblLayout w:type="fixed"/>
        <w:tblCellMar>
          <w:top w:w="28" w:type="dxa"/>
          <w:left w:w="28" w:type="dxa"/>
          <w:bottom w:w="28" w:type="dxa"/>
          <w:right w:w="28" w:type="dxa"/>
        </w:tblCellMar>
      </w:tblPr>
      <w:tblGrid>
        <w:gridCol w:w="695"/>
        <w:gridCol w:w="611"/>
        <w:gridCol w:w="613"/>
        <w:gridCol w:w="170"/>
        <w:gridCol w:w="170"/>
        <w:gridCol w:w="170"/>
        <w:gridCol w:w="109"/>
        <w:gridCol w:w="109"/>
        <w:gridCol w:w="109"/>
        <w:gridCol w:w="769"/>
        <w:gridCol w:w="769"/>
        <w:gridCol w:w="772"/>
        <w:gridCol w:w="162"/>
        <w:gridCol w:w="162"/>
        <w:gridCol w:w="230"/>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5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5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5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 xml:space="preserve">x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55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 xml:space="preserve">x </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55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18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18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August 7, 2026, the registrant had 84,612,657 shares of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553" w:type="dxa"/>
        <w:jc w:val="left"/>
        <w:tblInd w:w="0" w:type="dxa"/>
        <w:tblLayout w:type="fixed"/>
        <w:tblCellMar>
          <w:top w:w="28" w:type="dxa"/>
          <w:left w:w="28" w:type="dxa"/>
          <w:bottom w:w="28" w:type="dxa"/>
          <w:right w:w="28" w:type="dxa"/>
        </w:tblCellMar>
      </w:tblPr>
      <w:tblGrid>
        <w:gridCol w:w="500"/>
        <w:gridCol w:w="439"/>
        <w:gridCol w:w="439"/>
        <w:gridCol w:w="2448"/>
        <w:gridCol w:w="2448"/>
        <w:gridCol w:w="2469"/>
        <w:gridCol w:w="236"/>
        <w:gridCol w:w="236"/>
        <w:gridCol w:w="33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before="65" w:after="20"/>
              <w:jc w:val="center"/>
              <w:rPr/>
            </w:pPr>
            <w:r>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874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tc>
        <w:tc>
          <w:tcPr>
            <w:tcW w:w="810" w:type="dxa"/>
            <w:gridSpan w:val="3"/>
            <w:tcBorders>
              <w:top w:val="single" w:sz="4" w:space="0" w:color="000000"/>
            </w:tcBorders>
            <w:tcMar>
              <w:left w:w="0" w:type="dxa"/>
              <w:bottom w:w="0" w:type="dxa"/>
              <w:right w:w="0" w:type="dxa"/>
            </w:tcMar>
            <w:vAlign w:val="center"/>
          </w:tcPr>
          <w:p>
            <w:pPr>
              <w:pStyle w:val="TableContents"/>
              <w:bidi w:val="0"/>
              <w:spacing w:before="55" w:after="20"/>
              <w:jc w:val="left"/>
              <w:rPr/>
            </w:pPr>
            <w:r>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Condensed Financial Statements (Unaudited)</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49de3c777bc4f2f9b9f64eb98439a32_16">
              <w:r>
                <w:rPr>
                  <w:rStyle w:val="InternetLink"/>
                  <w:rFonts w:ascii="Times New Roman;serif" w:hAnsi="Times New Roman;serif"/>
                  <w:b w:val="false"/>
                  <w:strike w:val="false"/>
                  <w:dstrike w:val="false"/>
                  <w:color w:val="000000"/>
                  <w:sz w:val="20"/>
                  <w:u w:val="none"/>
                  <w:effect w:val="none"/>
                </w:rPr>
                <w:t>7</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49de3c777bc4f2f9b9f64eb98439a32_103">
              <w:r>
                <w:rPr>
                  <w:rStyle w:val="InternetLink"/>
                  <w:rFonts w:ascii="Times New Roman;serif" w:hAnsi="Times New Roman;serif"/>
                  <w:b w:val="false"/>
                  <w:strike w:val="false"/>
                  <w:dstrike w:val="false"/>
                  <w:color w:val="000000"/>
                  <w:sz w:val="20"/>
                  <w:u w:val="none"/>
                  <w:effect w:val="none"/>
                </w:rPr>
                <w:t>44</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49de3c777bc4f2f9b9f64eb98439a32_136">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49de3c777bc4f2f9b9f64eb98439a32_127">
              <w:r>
                <w:rPr>
                  <w:rStyle w:val="InternetLink"/>
                  <w:rFonts w:ascii="Times New Roman;serif" w:hAnsi="Times New Roman;serif"/>
                  <w:b w:val="false"/>
                  <w:strike w:val="false"/>
                  <w:dstrike w:val="false"/>
                  <w:color w:val="000000"/>
                  <w:sz w:val="20"/>
                  <w:u w:val="none"/>
                  <w:effect w:val="none"/>
                </w:rPr>
                <w:t>54</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49de3c777bc4f2f9b9f64eb98439a32_130">
              <w:r>
                <w:rPr>
                  <w:rStyle w:val="InternetLink"/>
                  <w:rFonts w:ascii="Times New Roman;serif" w:hAnsi="Times New Roman;serif"/>
                  <w:b w:val="false"/>
                  <w:strike w:val="false"/>
                  <w:dstrike w:val="false"/>
                  <w:color w:val="000000"/>
                  <w:sz w:val="20"/>
                  <w:u w:val="none"/>
                  <w:effect w:val="none"/>
                </w:rPr>
                <w:t>54</w:t>
              </w:r>
            </w:hyperlink>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3"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d49de3c777bc4f2f9b9f64eb98439a32_133">
              <w:r>
                <w:rPr>
                  <w:rStyle w:val="InternetLink"/>
                  <w:rFonts w:ascii="Times New Roman;serif" w:hAnsi="Times New Roman;serif"/>
                  <w:b/>
                  <w:strike w:val="false"/>
                  <w:dstrike w:val="false"/>
                  <w:color w:val="000000"/>
                  <w:sz w:val="20"/>
                  <w:u w:val="none"/>
                  <w:effect w:val="none"/>
                </w:rPr>
                <w:t>PART II</w:t>
              </w:r>
            </w:hyperlink>
            <w:r>
              <w:rPr>
                <w:rFonts w:ascii="Times New Roman;serif" w:hAnsi="Times New Roman;serif"/>
                <w:b/>
                <w:color w:val="000000"/>
                <w:sz w:val="20"/>
              </w:rPr>
              <w:t xml:space="preserve"> Other Information</w:t>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49de3c777bc4f2f9b9f64eb98439a32_142">
              <w:r>
                <w:rPr>
                  <w:rStyle w:val="InternetLink"/>
                  <w:rFonts w:ascii="Times New Roman;serif" w:hAnsi="Times New Roman;serif"/>
                  <w:b w:val="false"/>
                  <w:strike w:val="false"/>
                  <w:dstrike w:val="false"/>
                  <w:color w:val="000080"/>
                  <w:sz w:val="20"/>
                  <w:u w:val="single"/>
                  <w:effect w:val="none"/>
                </w:rPr>
                <w:t xml:space="preserve">Item </w:t>
              </w:r>
            </w:hyperlink>
            <w:hyperlink w:anchor="id49de3c777bc4f2f9b9f64eb98439a32_142">
              <w:r>
                <w:rPr>
                  <w:rStyle w:val="InternetLink"/>
                  <w:rFonts w:ascii="Times New Roman;serif" w:hAnsi="Times New Roman;serif"/>
                  <w:b w:val="false"/>
                  <w:strike w:val="false"/>
                  <w:dstrike w:val="false"/>
                  <w:color w:val="000080"/>
                  <w:sz w:val="20"/>
                  <w:u w:val="single"/>
                  <w:effect w:val="none"/>
                </w:rPr>
                <w:t>1</w:t>
              </w:r>
            </w:hyperlink>
            <w:hyperlink w:anchor="id49de3c777bc4f2f9b9f64eb98439a32_142">
              <w:r>
                <w:rPr>
                  <w:rStyle w:val="InternetLink"/>
                  <w:rFonts w:ascii="Times New Roman;serif" w:hAnsi="Times New Roman;serif"/>
                  <w:b w:val="false"/>
                  <w:strike w:val="false"/>
                  <w:dstrike w:val="false"/>
                  <w:color w:val="000080"/>
                  <w:sz w:val="20"/>
                  <w:u w:val="single"/>
                  <w:effect w:val="none"/>
                </w:rPr>
                <w:t>.</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49de3c777bc4f2f9b9f64eb98439a32_136">
              <w:r>
                <w:rPr>
                  <w:rStyle w:val="InternetLink"/>
                  <w:rFonts w:ascii="Times New Roman;serif" w:hAnsi="Times New Roman;serif"/>
                  <w:b w:val="false"/>
                  <w:strike w:val="false"/>
                  <w:dstrike w:val="false"/>
                  <w:color w:val="000000"/>
                  <w:sz w:val="20"/>
                  <w:u w:val="none"/>
                  <w:effect w:val="none"/>
                </w:rPr>
                <w:t>55</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49de3c777bc4f2f9b9f64eb98439a32_139">
              <w:r>
                <w:rPr>
                  <w:rStyle w:val="InternetLink"/>
                  <w:rFonts w:ascii="Times New Roman;serif" w:hAnsi="Times New Roman;serif"/>
                  <w:b w:val="false"/>
                  <w:strike w:val="false"/>
                  <w:dstrike w:val="false"/>
                  <w:color w:val="000000"/>
                  <w:sz w:val="20"/>
                  <w:u w:val="none"/>
                  <w:effect w:val="none"/>
                </w:rPr>
                <w:t>55</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49de3c777bc4f2f9b9f64eb98439a32_103">
              <w:r>
                <w:rPr>
                  <w:rStyle w:val="InternetLink"/>
                  <w:rFonts w:ascii="Times New Roman;serif" w:hAnsi="Times New Roman;serif"/>
                  <w:b w:val="false"/>
                  <w:strike w:val="false"/>
                  <w:dstrike w:val="false"/>
                  <w:color w:val="000080"/>
                  <w:sz w:val="20"/>
                  <w:u w:val="single"/>
                  <w:effect w:val="none"/>
                </w:rPr>
                <w:t xml:space="preserve">Item </w:t>
              </w:r>
            </w:hyperlink>
            <w:hyperlink w:anchor="id49de3c777bc4f2f9b9f64eb98439a32_103">
              <w:r>
                <w:rPr>
                  <w:rStyle w:val="InternetLink"/>
                  <w:rFonts w:ascii="Times New Roman;serif" w:hAnsi="Times New Roman;serif"/>
                  <w:b w:val="false"/>
                  <w:strike w:val="false"/>
                  <w:dstrike w:val="false"/>
                  <w:color w:val="000080"/>
                  <w:sz w:val="20"/>
                  <w:u w:val="single"/>
                  <w:effect w:val="none"/>
                </w:rPr>
                <w:t>2</w:t>
              </w:r>
            </w:hyperlink>
            <w:hyperlink w:anchor="id49de3c777bc4f2f9b9f64eb98439a32_103">
              <w:r>
                <w:rPr>
                  <w:rStyle w:val="InternetLink"/>
                  <w:rFonts w:ascii="Times New Roman;serif" w:hAnsi="Times New Roman;serif"/>
                  <w:b w:val="false"/>
                  <w:strike w:val="false"/>
                  <w:dstrike w:val="false"/>
                  <w:color w:val="000080"/>
                  <w:sz w:val="20"/>
                  <w:u w:val="single"/>
                  <w:effect w:val="none"/>
                </w:rPr>
                <w:t>.</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Unregistered Sales of Equity Securities and Use of Proceeds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49de3c777bc4f2f9b9f64eb98439a32_142">
              <w:r>
                <w:rPr>
                  <w:rStyle w:val="InternetLink"/>
                  <w:rFonts w:ascii="Times New Roman;serif" w:hAnsi="Times New Roman;serif"/>
                  <w:b w:val="false"/>
                  <w:strike w:val="false"/>
                  <w:dstrike w:val="false"/>
                  <w:color w:val="000000"/>
                  <w:sz w:val="20"/>
                  <w:u w:val="none"/>
                  <w:effect w:val="none"/>
                </w:rPr>
                <w:t>55</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Defaults upon Senior Securities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49de3c777bc4f2f9b9f64eb98439a32_145">
              <w:r>
                <w:rPr>
                  <w:rStyle w:val="InternetLink"/>
                  <w:rFonts w:ascii="Times New Roman;serif" w:hAnsi="Times New Roman;serif"/>
                  <w:b w:val="false"/>
                  <w:strike w:val="false"/>
                  <w:dstrike w:val="false"/>
                  <w:color w:val="000000"/>
                  <w:sz w:val="20"/>
                  <w:u w:val="none"/>
                  <w:effect w:val="none"/>
                </w:rPr>
                <w:t>55</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Mine Safety Disclosures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49de3c777bc4f2f9b9f64eb98439a32_148">
              <w:r>
                <w:rPr>
                  <w:rStyle w:val="InternetLink"/>
                  <w:rFonts w:ascii="Times New Roman;serif" w:hAnsi="Times New Roman;serif"/>
                  <w:b w:val="false"/>
                  <w:strike w:val="false"/>
                  <w:dstrike w:val="false"/>
                  <w:color w:val="000000"/>
                  <w:sz w:val="20"/>
                  <w:u w:val="none"/>
                  <w:effect w:val="none"/>
                </w:rPr>
                <w:t>55</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49de3c777bc4f2f9b9f64eb98439a32_151">
              <w:r>
                <w:rPr>
                  <w:rStyle w:val="InternetLink"/>
                  <w:rFonts w:ascii="Times New Roman;serif" w:hAnsi="Times New Roman;serif"/>
                  <w:b w:val="false"/>
                  <w:strike w:val="false"/>
                  <w:dstrike w:val="false"/>
                  <w:color w:val="000000"/>
                  <w:sz w:val="20"/>
                  <w:u w:val="none"/>
                  <w:effect w:val="none"/>
                </w:rPr>
                <w:t>55</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49de3c777bc4f2f9b9f64eb98439a32_157">
              <w:r>
                <w:rPr>
                  <w:rStyle w:val="InternetLink"/>
                  <w:rFonts w:ascii="Times New Roman;serif" w:hAnsi="Times New Roman;serif"/>
                  <w:b w:val="false"/>
                  <w:strike w:val="false"/>
                  <w:dstrike w:val="false"/>
                  <w:color w:val="000080"/>
                  <w:sz w:val="20"/>
                  <w:u w:val="single"/>
                  <w:effect w:val="none"/>
                </w:rPr>
                <w:t xml:space="preserve">Item </w:t>
              </w:r>
            </w:hyperlink>
            <w:hyperlink w:anchor="id49de3c777bc4f2f9b9f64eb98439a32_157">
              <w:r>
                <w:rPr>
                  <w:rStyle w:val="InternetLink"/>
                  <w:rFonts w:ascii="Times New Roman;serif" w:hAnsi="Times New Roman;serif"/>
                  <w:b w:val="false"/>
                  <w:strike w:val="false"/>
                  <w:dstrike w:val="false"/>
                  <w:color w:val="000080"/>
                  <w:sz w:val="20"/>
                  <w:u w:val="single"/>
                  <w:effect w:val="none"/>
                </w:rPr>
                <w:t>6</w:t>
              </w:r>
            </w:hyperlink>
            <w:hyperlink w:anchor="id49de3c777bc4f2f9b9f64eb98439a32_157">
              <w:r>
                <w:rPr>
                  <w:rStyle w:val="InternetLink"/>
                  <w:rFonts w:ascii="Times New Roman;serif" w:hAnsi="Times New Roman;serif"/>
                  <w:b w:val="false"/>
                  <w:strike w:val="false"/>
                  <w:dstrike w:val="false"/>
                  <w:color w:val="000080"/>
                  <w:sz w:val="20"/>
                  <w:u w:val="single"/>
                  <w:effect w:val="none"/>
                </w:rPr>
                <w:t>.</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49de3c777bc4f2f9b9f64eb98439a32_157">
              <w:r>
                <w:rPr>
                  <w:rStyle w:val="InternetLink"/>
                  <w:rFonts w:ascii="Times New Roman;serif" w:hAnsi="Times New Roman;serif"/>
                  <w:b w:val="false"/>
                  <w:strike w:val="false"/>
                  <w:dstrike w:val="false"/>
                  <w:color w:val="000000"/>
                  <w:sz w:val="20"/>
                  <w:u w:val="none"/>
                  <w:effect w:val="none"/>
                </w:rPr>
                <w:t>Exhibits</w:t>
              </w:r>
            </w:hyperlink>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49de3c777bc4f2f9b9f64eb98439a32_157">
              <w:r>
                <w:rPr>
                  <w:rStyle w:val="InternetLink"/>
                  <w:rFonts w:ascii="Times New Roman;serif" w:hAnsi="Times New Roman;serif"/>
                  <w:b w:val="false"/>
                  <w:strike w:val="false"/>
                  <w:dstrike w:val="false"/>
                  <w:color w:val="000000"/>
                  <w:sz w:val="20"/>
                  <w:u w:val="none"/>
                  <w:effect w:val="none"/>
                </w:rPr>
                <w:t>56</w:t>
              </w:r>
            </w:hyperlink>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3"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d49de3c777bc4f2f9b9f64eb98439a32_160">
              <w:r>
                <w:rPr>
                  <w:rStyle w:val="InternetLink"/>
                  <w:rFonts w:ascii="Times New Roman;serif" w:hAnsi="Times New Roman;serif"/>
                  <w:b w:val="false"/>
                  <w:strike w:val="false"/>
                  <w:dstrike w:val="false"/>
                  <w:color w:val="000000"/>
                  <w:sz w:val="20"/>
                  <w:u w:val="none"/>
                  <w:effect w:val="none"/>
                </w:rPr>
                <w:t>Signatures</w:t>
              </w:r>
            </w:hyperlink>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49de3c777bc4f2f9b9f64eb98439a32_160">
              <w:r>
                <w:rPr>
                  <w:rStyle w:val="InternetLink"/>
                  <w:rFonts w:ascii="Times New Roman;serif" w:hAnsi="Times New Roman;serif"/>
                  <w:b w:val="false"/>
                  <w:strike w:val="false"/>
                  <w:dstrike w:val="false"/>
                  <w:color w:val="000000"/>
                  <w:sz w:val="20"/>
                  <w:u w:val="none"/>
                  <w:effect w:val="none"/>
                </w:rPr>
                <w:t>57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Unless the context requires otherwise, references in this Quarterly Report on Form 10-Q (“Form 10-Q”) to “Innventure,” the “Company,” “we,” “our” or “us” refer to Innventure, Inc. and its consolidated subsidiaries.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Form 10-Q contains forward-looking statements within the meaning of Section 27A of the Securities Act of 1933, as amended (the “Securities Act”), and Section 21E of the Securities Exchange Act of 1934, as amended (the “Exchange Act”), including statements about the Company’s business model, the financial condition, results of operations, earnings outlook and the prospects for AeroFlexx, LLC (“AeroFlexx” or “AFX”), Accelsius Holdings LLC (“Accelsius” or “ACC”) and Refinity Olefins, LLC (“Refinity” and, together with AeroFlexx, Accelsius and all future operating subsidiary companies that Innventure may found, fund, and operate going forward, the “Innventure Companies”). Forward-looking statements generally relate to future events or the Company’s future financial or operating performance and may refer to projections, forecasts or other characterizations of future events or circumstances, including any underlying assumptions.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are based on the current expectations of the Company’s management and are inherently subject to uncertainties and changes in circumstances and their potential effects and speak only as of the date of this Form 10-Q.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 risks and uncertainties include, but are not limited to, those factors discussed and identified in the section of the Company’s Annual Report on Form 10-K for the fiscal year ended December 31, 2025 (the “Form 10-K”) entitled “Risk Factors,” those discussed and identified in other public filings made with the Securities and Exchange Commission (the “SEC”) by the Company and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Innventure’s and the Innventure Companies’ ability to execute on their strategies and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Innventure’s and the Innventure Companies’ ability to invest in growth initiatives;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developments and projections relating to Innventure’s and the Innventure Companies’ competitors and industry, including technological advances and the development of alternative or competing products or solutions;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implementation, timely adoption, market acceptance and success of Innventure’s and the Innventure Companies’ products, business models and growth strategies;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risks related to fluctuations in data center development and infrastructure spending, including due to the availability of capital, the availability of graphics processing units, memory and two-phased enabled servers, the pace of artificial intelligence adoption, site allocations, overbuilding, underbuilding, power availability constraints, permitting delays, regulatory or zoning restrictions, moratoria, and community or governmental opposition to data center construction or expansion;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Innventure’s and the Innventure Companies’ future capital requirements and sources and uses of cash;</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sustained unfavorable economic or other conditions which could require Innventure to evaluate and potentially record additional impairment charges for all, or a portion of, its goodwill and other intangible assets;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Innventure’s ability to maintain control over the Innventure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Innventure’s ability to meet the various conditions imposed by, and to satisfy its obligations to, WTI Fund X, Inc. and WTI Fund XI, Inc. (together, the “WTI Lenders”) under the WTI Facility (as defined below);</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Innventure’s access to funds under the Standby Equity Purchase Agreement (the “SEPA”) with YA II PN, Ltd. (“Yorkville”) due to certain conditions, restrictions and limitations set forth therein;</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certain restrictions and limitations set forth in Innventure’s and the Innventure Companies’ financing instruments, which may impair Innventure’s and the Innventure Companies’ financial and operating flexibility;</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Innventure’s and the Innventure Companies’ ability to generate revenue and maintain sufficient capital to operate as anticipated;</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Innventure’s and the Innventure Companies’ ability to obtain funding for their operations and future growth and to continue as going concerns;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risk that the technology solutions that Innventure and the Innventure Companies license or acquire from third parties or develop internally may not function as anticipated or provide the benefits anticipated;</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ability of Innventure and the Innventure Companies to scale the operations of their respective businesses;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ability of Innventure and the Innventure Companies to establish substantial commercial sales of their products;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ability of Innventure and the Innventure Companies to compete against companies with greater capital and other resources or superior technology or products;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Innventure’s and the Innventure Companies’ ability to meet, and to continue to meet, applicable regulatory requirements for the use of their respective products and the numerous regulatory requirements generally applicable to their businesses;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outcome of any legal proceedings against Innventure or the Innventure Companies;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Innventure’s ability to find future opportunities to license or acquire breakthrough technology solutions from technology solutions providers and to satisfy the requirements imposed by or to avoid disagreements with its current and future technology solutions providers</w:t>
      </w:r>
      <w:r>
        <w:rPr>
          <w:rFonts w:ascii="Times New Roman;serif" w:hAnsi="Times New Roman;serif"/>
          <w:b w:val="false"/>
          <w:color w:val="000000"/>
          <w:sz w:val="24"/>
        </w:rPr>
        <w:t>;</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risk that the launch of new companies distracts Innventure’s management from its and its other subsidiaries’ operations;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risk that Innventure may be deemed an investment company under the Investment Company Act of 1940 (the “Investment Company Act”), which would impose burdensome compliance requirements and restrictions on its activities;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Innventure’s ability to sufficiently protect the intellectual property (“IP”) rights of itself and its Innventure Companies, and to avoid or resolve in a timely and cost-effective manner any disputes that may arise relating to its use of the IP of third parties;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risk of a cyber-attack or a failure of Innventure’s information technology and data security infrastructure;</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actions by activist stockholders;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geopolitical risk and changes in applicable laws or regulations, including with respect to foreign trade policy and tariffs;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 xml:space="preserve">potential adverse effects of other economic, business, and/or competitive factors;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operational risks related to Innventure and the Innventure Companies, which have limited or no operating history; and</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limited liquidity and trading of Innventure’s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Should one or more of these risks or uncertainties materialize, or should any of our assumptions prove incorrect, actual results may vary in material respects from those projected in these forward-looking statements. All forward-looking statements in this Form 10-Q are made as of the date hereof, based on information available to Innventure as of the date hereof, and Innventure assumes no obligation to update any forward-looking statement, whether as a result of new information, future events or otherwise, except as may be required under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833"/>
        <w:gridCol w:w="2428"/>
        <w:gridCol w:w="2457"/>
        <w:gridCol w:w="181"/>
        <w:gridCol w:w="646"/>
        <w:gridCol w:w="109"/>
        <w:gridCol w:w="109"/>
        <w:gridCol w:w="109"/>
        <w:gridCol w:w="109"/>
        <w:gridCol w:w="194"/>
        <w:gridCol w:w="694"/>
        <w:gridCol w:w="336"/>
      </w:tblGrid>
      <w:tr>
        <w:trPr/>
        <w:tc>
          <w:tcPr>
            <w:tcW w:w="2833"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7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7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60,449 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Restricted cash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5,000 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receivable,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1,094 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Due from related parties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11,840 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Inventories,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1,604 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Prepaid expenses and 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3,167 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Current Assets </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71,439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83,154</w:t>
            </w: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28,741 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Property, plant and equipment,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1,941 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Intangible assets,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149,729 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160,537 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323,463 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323,463 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1,351 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Assets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574,697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599,187</w:t>
            </w: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Liabilities and Stockholders' Equity</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2,551 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employee benefits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11,343 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7,386 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Contract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947 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7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Notes payable - 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12,846 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Term convertible note, current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7,890 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Convertible promissory note, 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4,331 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7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Patent installment payable - current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700 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Obligation to issue equity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119 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Warrant liability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27,458 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Income taxes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7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682 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Current Liabilities </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59,767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76,276</w:t>
            </w: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Notes payable, net of current portion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8,327 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771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7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Earnout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3,890 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liability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239 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Patent installment payable, net of current portion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12,375 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13,848 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Liabilities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91,882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115,511</w:t>
            </w: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Commitments and Contingencies (Note 16)</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Stockholders' Equity</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Preferred stock, $0.0001 par value, 25,000,000 shares authorized;</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Series B Preferred Stock, $0.0001 par value, 3,000,000 shares designated, 24,779 and 33,144 shares issued and outstanding as of June 30, 2026 and December 31, 2025,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Series C Preferred Stock, $0.0001 par value, 5,000,000 shares designated, 159,270 and 150,000 shares issued and outstanding as of June 30, 2026 and December 31, 2025, respectively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Common Stock, $0.0001 par value, 250,000,000 shares authorized, 84,612,657 and 67,743,847 shares issued and outstanding as of June 30, 2026 and December 31, 2025,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Additional paid-in capital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632,237 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577,070 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Accumulated other comprehensive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(1,260)</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Accumulated deficit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(418,911)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(371,603)</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Innventure, Inc., Stockholders’ Equity</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212,690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204,214</w:t>
            </w: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270,125 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279,462 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Stockholders' Equity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482,815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483,676</w:t>
            </w: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Liabilities and Stockholders' Equity </w:t>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574,697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599,187</w:t>
            </w:r>
            <w:r>
              <w:rPr>
                <w:color w:val="000000"/>
              </w:rPr>
              <w:t> </w:t>
            </w:r>
          </w:p>
        </w:tc>
        <w:tc>
          <w:tcPr>
            <w:tcW w:w="3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(Loss)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666"/>
        <w:gridCol w:w="1394"/>
        <w:gridCol w:w="1422"/>
        <w:gridCol w:w="215"/>
        <w:gridCol w:w="781"/>
        <w:gridCol w:w="116"/>
        <w:gridCol w:w="109"/>
        <w:gridCol w:w="109"/>
        <w:gridCol w:w="109"/>
        <w:gridCol w:w="215"/>
        <w:gridCol w:w="781"/>
        <w:gridCol w:w="116"/>
        <w:gridCol w:w="109"/>
        <w:gridCol w:w="109"/>
        <w:gridCol w:w="109"/>
        <w:gridCol w:w="215"/>
        <w:gridCol w:w="781"/>
        <w:gridCol w:w="116"/>
        <w:gridCol w:w="109"/>
        <w:gridCol w:w="109"/>
        <w:gridCol w:w="109"/>
        <w:gridCol w:w="196"/>
        <w:gridCol w:w="801"/>
        <w:gridCol w:w="409"/>
      </w:tblGrid>
      <w:tr>
        <w:trPr/>
        <w:tc>
          <w:tcPr>
            <w:tcW w:w="166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4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4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953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476</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2,396</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700</w:t>
            </w:r>
            <w:r>
              <w:rPr>
                <w:color w:val="000000"/>
              </w:rPr>
              <w:t>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4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3,045 </w:t>
            </w:r>
          </w:p>
        </w:tc>
        <w:tc>
          <w:tcPr>
            <w:tcW w:w="40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4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27,249 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38,245 </w:t>
            </w:r>
          </w:p>
        </w:tc>
        <w:tc>
          <w:tcPr>
            <w:tcW w:w="409"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4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3,089 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4,304 </w:t>
            </w:r>
          </w:p>
        </w:tc>
        <w:tc>
          <w:tcPr>
            <w:tcW w:w="40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4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6,068 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17,620 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12,321 </w:t>
            </w:r>
          </w:p>
        </w:tc>
        <w:tc>
          <w:tcPr>
            <w:tcW w:w="409"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4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impairment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113,344 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346,557 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xml:space="preserve">Total Operating Expenses </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32,441</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143,050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61,181</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404,472</w:t>
            </w:r>
            <w:r>
              <w:rPr>
                <w:color w:val="000000"/>
              </w:rPr>
              <w:t>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xml:space="preserve">Loss from Operations </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(31,488)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(142,574)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(58,785)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(403,772)</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Non-operating Income (Expense)</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4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(4,185)</w:t>
            </w:r>
          </w:p>
        </w:tc>
        <w:tc>
          <w:tcPr>
            <w:tcW w:w="40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4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on investments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44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financial liabilities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23,605 </w:t>
            </w:r>
          </w:p>
        </w:tc>
        <w:tc>
          <w:tcPr>
            <w:tcW w:w="40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4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investment loss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(8,680)</w:t>
            </w:r>
          </w:p>
        </w:tc>
        <w:tc>
          <w:tcPr>
            <w:tcW w:w="409"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4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gain on conversion of available for sale investment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1,507 </w:t>
            </w:r>
          </w:p>
        </w:tc>
        <w:tc>
          <w:tcPr>
            <w:tcW w:w="40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4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(3,462)</w:t>
            </w:r>
          </w:p>
        </w:tc>
        <w:tc>
          <w:tcPr>
            <w:tcW w:w="409"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4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related party debt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(3,538)</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44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Miscellaneous other income (expense), net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Non-operating Income (Expense)</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(4,944)</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(921)</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(8,469)</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5,204</w:t>
            </w:r>
            <w:r>
              <w:rPr>
                <w:color w:val="000000"/>
              </w:rPr>
              <w:t> </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Loss before income taxes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(36,432)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(143,495)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(67,254)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(398,568)</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4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(4,557)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(3,619)</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Loss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(34,914)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(141,275)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(62,697)</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(394,949)</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loss attributable to</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(8,411)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(57,048)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(15,389)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(167,725)</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Net Loss Attributable to Stockholders </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(26,503)</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(84,227)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(47,308)</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(227,224)</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4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Basic and diluted loss per share</w:t>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(0.32)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(0.59)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(4.60)</w:t>
            </w:r>
          </w:p>
        </w:tc>
        <w:tc>
          <w:tcPr>
            <w:tcW w:w="409"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4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Basic and diluted weighted average common shares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83,117,031 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52,546,491 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80,504,971 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49,417,092 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comprehensive income (loss), net of taxes: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4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income (loss) on available for sale debt securities - related party</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4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other comprehensive income (loss), net of taxes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189</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(691)</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comprehensive loss, net of taxes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(34,381)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(141,086)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(62,073)</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(395,640)</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Less: comprehensive loss attributable to</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(57,048)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(15,389)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(167,725)</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Comprehensive Loss Attributable to Stockholders</w:t>
            </w:r>
          </w:p>
        </w:tc>
        <w:tc>
          <w:tcPr>
            <w:tcW w:w="2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(25,970)</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(84,038)</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(46,684)</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(227,915)</w:t>
            </w:r>
          </w:p>
        </w:tc>
        <w:tc>
          <w:tcPr>
            <w:tcW w:w="4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center"/>
        <w:rPr>
          <w:color w:val="000000"/>
        </w:rPr>
      </w:pPr>
      <w:r>
        <w:rPr>
          <w:color w:val="000000"/>
        </w:rPr>
        <w:t>    </w:t>
      </w:r>
    </w:p>
    <w:p>
      <w:pPr>
        <w:pStyle w:val="TextBody"/>
        <w:bidi w:val="0"/>
        <w:spacing w:lineRule="auto" w:line="288" w:before="0" w:after="18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Mezzanine and Stockholders' Equity</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14175" w:type="dxa"/>
        <w:jc w:val="left"/>
        <w:tblInd w:w="0" w:type="dxa"/>
        <w:tblLayout w:type="fixed"/>
        <w:tblCellMar>
          <w:top w:w="28" w:type="dxa"/>
          <w:left w:w="28" w:type="dxa"/>
          <w:bottom w:w="28" w:type="dxa"/>
          <w:right w:w="28" w:type="dxa"/>
        </w:tblCellMar>
      </w:tblPr>
      <w:tblGrid>
        <w:gridCol w:w="625"/>
        <w:gridCol w:w="220"/>
        <w:gridCol w:w="221"/>
        <w:gridCol w:w="285"/>
        <w:gridCol w:w="286"/>
        <w:gridCol w:w="171"/>
        <w:gridCol w:w="203"/>
        <w:gridCol w:w="203"/>
        <w:gridCol w:w="109"/>
        <w:gridCol w:w="181"/>
        <w:gridCol w:w="406"/>
        <w:gridCol w:w="109"/>
        <w:gridCol w:w="109"/>
        <w:gridCol w:w="109"/>
        <w:gridCol w:w="109"/>
        <w:gridCol w:w="323"/>
        <w:gridCol w:w="323"/>
        <w:gridCol w:w="171"/>
        <w:gridCol w:w="109"/>
        <w:gridCol w:w="109"/>
        <w:gridCol w:w="109"/>
        <w:gridCol w:w="181"/>
        <w:gridCol w:w="406"/>
        <w:gridCol w:w="109"/>
        <w:gridCol w:w="109"/>
        <w:gridCol w:w="109"/>
        <w:gridCol w:w="109"/>
        <w:gridCol w:w="413"/>
        <w:gridCol w:w="413"/>
        <w:gridCol w:w="171"/>
        <w:gridCol w:w="109"/>
        <w:gridCol w:w="109"/>
        <w:gridCol w:w="109"/>
        <w:gridCol w:w="194"/>
        <w:gridCol w:w="259"/>
        <w:gridCol w:w="118"/>
        <w:gridCol w:w="109"/>
        <w:gridCol w:w="109"/>
        <w:gridCol w:w="109"/>
        <w:gridCol w:w="181"/>
        <w:gridCol w:w="646"/>
        <w:gridCol w:w="109"/>
        <w:gridCol w:w="109"/>
        <w:gridCol w:w="109"/>
        <w:gridCol w:w="109"/>
        <w:gridCol w:w="181"/>
        <w:gridCol w:w="631"/>
        <w:gridCol w:w="109"/>
        <w:gridCol w:w="109"/>
        <w:gridCol w:w="109"/>
        <w:gridCol w:w="109"/>
        <w:gridCol w:w="204"/>
        <w:gridCol w:w="543"/>
        <w:gridCol w:w="124"/>
        <w:gridCol w:w="109"/>
        <w:gridCol w:w="109"/>
        <w:gridCol w:w="109"/>
        <w:gridCol w:w="211"/>
        <w:gridCol w:w="756"/>
        <w:gridCol w:w="129"/>
        <w:gridCol w:w="109"/>
        <w:gridCol w:w="109"/>
        <w:gridCol w:w="109"/>
        <w:gridCol w:w="181"/>
        <w:gridCol w:w="646"/>
        <w:gridCol w:w="109"/>
        <w:gridCol w:w="109"/>
        <w:gridCol w:w="109"/>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7"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B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C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December 31, 2025</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33,144</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150,000</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67,743,847</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7</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577,070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(371,603)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(1,260)</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279,462</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483,676 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(6,978)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Series B Preferred Stock issued for paid-in-kind dividends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2,648 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shares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11,495,572 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shares for services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convertible debentures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304,377 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RSU settlement, net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505,141 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gain, net of taxes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Series C Preferred Stock issued for paid-in-kind dividends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9,270 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40,957 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2,752 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preferred dividends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 and related transfers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March 31, 2026</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35,792</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159,270</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80,094,894</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8</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617,017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(392,408)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(1,172)</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274,704</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498,149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(8,411)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shares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2,097,552 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RSU settlement, net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387,287 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Vesting of earnout shares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1,999,854 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gain, net of taxes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16,546 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2,701 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preferred dividends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to Common Stock</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(11,013)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16,524 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 and related transfers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1,131 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June 30, 2026</w:t>
            </w:r>
          </w:p>
        </w:tc>
        <w:tc>
          <w:tcPr>
            <w:tcW w:w="5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24,779</w:t>
            </w: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159,270</w:t>
            </w: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84,612,657</w:t>
            </w: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2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8</w:t>
            </w:r>
            <w:r>
              <w:rPr>
                <w:color w:val="000000"/>
              </w:rPr>
              <w:t> </w:t>
            </w:r>
          </w:p>
        </w:tc>
        <w:tc>
          <w:tcPr>
            <w:tcW w:w="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632,237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(418,911)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(644)</w:t>
            </w:r>
          </w:p>
        </w:tc>
        <w:tc>
          <w:tcPr>
            <w:tcW w:w="1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270,125</w:t>
            </w:r>
            <w:r>
              <w:rPr>
                <w:color w:val="000000"/>
              </w:rPr>
              <w:t> </w:t>
            </w:r>
          </w:p>
        </w:tc>
        <w:tc>
          <w:tcPr>
            <w:tcW w:w="1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482,815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Mezzanine and Stockholders' Equity</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15710" w:type="dxa"/>
        <w:jc w:val="left"/>
        <w:tblInd w:w="0" w:type="dxa"/>
        <w:tblLayout w:type="fixed"/>
        <w:tblCellMar>
          <w:top w:w="28" w:type="dxa"/>
          <w:left w:w="28" w:type="dxa"/>
          <w:bottom w:w="28" w:type="dxa"/>
          <w:right w:w="28" w:type="dxa"/>
        </w:tblCellMar>
      </w:tblPr>
      <w:tblGrid>
        <w:gridCol w:w="625"/>
        <w:gridCol w:w="220"/>
        <w:gridCol w:w="221"/>
        <w:gridCol w:w="375"/>
        <w:gridCol w:w="376"/>
        <w:gridCol w:w="171"/>
        <w:gridCol w:w="109"/>
        <w:gridCol w:w="109"/>
        <w:gridCol w:w="109"/>
        <w:gridCol w:w="181"/>
        <w:gridCol w:w="406"/>
        <w:gridCol w:w="109"/>
        <w:gridCol w:w="109"/>
        <w:gridCol w:w="109"/>
        <w:gridCol w:w="109"/>
        <w:gridCol w:w="203"/>
        <w:gridCol w:w="203"/>
        <w:gridCol w:w="171"/>
        <w:gridCol w:w="109"/>
        <w:gridCol w:w="109"/>
        <w:gridCol w:w="109"/>
        <w:gridCol w:w="181"/>
        <w:gridCol w:w="406"/>
        <w:gridCol w:w="109"/>
        <w:gridCol w:w="109"/>
        <w:gridCol w:w="109"/>
        <w:gridCol w:w="109"/>
        <w:gridCol w:w="413"/>
        <w:gridCol w:w="413"/>
        <w:gridCol w:w="171"/>
        <w:gridCol w:w="109"/>
        <w:gridCol w:w="109"/>
        <w:gridCol w:w="109"/>
        <w:gridCol w:w="194"/>
        <w:gridCol w:w="259"/>
        <w:gridCol w:w="118"/>
        <w:gridCol w:w="109"/>
        <w:gridCol w:w="109"/>
        <w:gridCol w:w="109"/>
        <w:gridCol w:w="181"/>
        <w:gridCol w:w="646"/>
        <w:gridCol w:w="109"/>
        <w:gridCol w:w="109"/>
        <w:gridCol w:w="109"/>
        <w:gridCol w:w="109"/>
        <w:gridCol w:w="181"/>
        <w:gridCol w:w="631"/>
        <w:gridCol w:w="109"/>
        <w:gridCol w:w="109"/>
        <w:gridCol w:w="109"/>
        <w:gridCol w:w="109"/>
        <w:gridCol w:w="204"/>
        <w:gridCol w:w="543"/>
        <w:gridCol w:w="124"/>
        <w:gridCol w:w="109"/>
        <w:gridCol w:w="109"/>
        <w:gridCol w:w="109"/>
        <w:gridCol w:w="211"/>
        <w:gridCol w:w="756"/>
        <w:gridCol w:w="129"/>
        <w:gridCol w:w="109"/>
        <w:gridCol w:w="109"/>
        <w:gridCol w:w="109"/>
        <w:gridCol w:w="181"/>
        <w:gridCol w:w="646"/>
        <w:gridCol w:w="109"/>
        <w:gridCol w:w="327"/>
        <w:gridCol w:w="751"/>
        <w:gridCol w:w="171"/>
        <w:gridCol w:w="181"/>
        <w:gridCol w:w="571"/>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9"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Stockholders’ Equity</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82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Mezzanine Equity</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B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C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82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December 31, 2024</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1,102,000</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44,597,154</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502,865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(78,262)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909</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340,777</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766,293 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(142,997)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(110,677)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(253,674)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Series B Preferred Stock buyback</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(5,000)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Series B Preferred Stock issued for paid-in-kind dividends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21,808 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shares, net of issuance costs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73,993 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shares for services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87,971 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Vesting of earnout shares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2,344,682 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gain, net of taxes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(2,387)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related party notes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2,310,848 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Series C Preferred Stock, net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275,000 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Series C Preferred Stock for services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300,000 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 issued and related transfers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33,249 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stockholders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898 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preferred dividends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Transfer of Series C Preferred Stock from Mezzanine equity to Stockholders' equity</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March 31, 2025</w:t>
            </w:r>
          </w:p>
        </w:tc>
        <w:tc>
          <w:tcPr>
            <w:tcW w:w="75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1,118,808</w:t>
            </w: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47,103,800</w:t>
            </w: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2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w:t>
            </w:r>
            <w:r>
              <w:rPr>
                <w:color w:val="000000"/>
              </w:rPr>
              <w:t> </w:t>
            </w:r>
          </w:p>
        </w:tc>
        <w:tc>
          <w:tcPr>
            <w:tcW w:w="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484,256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(221,285)</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(1,478)</w:t>
            </w:r>
          </w:p>
        </w:tc>
        <w:tc>
          <w:tcPr>
            <w:tcW w:w="1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264,247</w:t>
            </w:r>
            <w:r>
              <w:rPr>
                <w:color w:val="000000"/>
              </w:rPr>
              <w:t> </w:t>
            </w:r>
          </w:p>
        </w:tc>
        <w:tc>
          <w:tcPr>
            <w:tcW w:w="1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525,745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2,885,848</w:t>
            </w: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28,726</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Mezzanine and Stockholders' Equity</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16068" w:type="dxa"/>
        <w:jc w:val="left"/>
        <w:tblInd w:w="0" w:type="dxa"/>
        <w:tblLayout w:type="fixed"/>
        <w:tblCellMar>
          <w:top w:w="28" w:type="dxa"/>
          <w:left w:w="28" w:type="dxa"/>
          <w:bottom w:w="28" w:type="dxa"/>
          <w:right w:w="28" w:type="dxa"/>
        </w:tblCellMar>
      </w:tblPr>
      <w:tblGrid>
        <w:gridCol w:w="671"/>
        <w:gridCol w:w="196"/>
        <w:gridCol w:w="199"/>
        <w:gridCol w:w="368"/>
        <w:gridCol w:w="368"/>
        <w:gridCol w:w="171"/>
        <w:gridCol w:w="203"/>
        <w:gridCol w:w="203"/>
        <w:gridCol w:w="109"/>
        <w:gridCol w:w="181"/>
        <w:gridCol w:w="406"/>
        <w:gridCol w:w="109"/>
        <w:gridCol w:w="109"/>
        <w:gridCol w:w="109"/>
        <w:gridCol w:w="109"/>
        <w:gridCol w:w="323"/>
        <w:gridCol w:w="323"/>
        <w:gridCol w:w="171"/>
        <w:gridCol w:w="109"/>
        <w:gridCol w:w="109"/>
        <w:gridCol w:w="109"/>
        <w:gridCol w:w="181"/>
        <w:gridCol w:w="406"/>
        <w:gridCol w:w="109"/>
        <w:gridCol w:w="109"/>
        <w:gridCol w:w="109"/>
        <w:gridCol w:w="109"/>
        <w:gridCol w:w="412"/>
        <w:gridCol w:w="414"/>
        <w:gridCol w:w="171"/>
        <w:gridCol w:w="109"/>
        <w:gridCol w:w="109"/>
        <w:gridCol w:w="109"/>
        <w:gridCol w:w="181"/>
        <w:gridCol w:w="406"/>
        <w:gridCol w:w="109"/>
        <w:gridCol w:w="109"/>
        <w:gridCol w:w="109"/>
        <w:gridCol w:w="109"/>
        <w:gridCol w:w="181"/>
        <w:gridCol w:w="646"/>
        <w:gridCol w:w="109"/>
        <w:gridCol w:w="109"/>
        <w:gridCol w:w="109"/>
        <w:gridCol w:w="109"/>
        <w:gridCol w:w="181"/>
        <w:gridCol w:w="631"/>
        <w:gridCol w:w="109"/>
        <w:gridCol w:w="109"/>
        <w:gridCol w:w="109"/>
        <w:gridCol w:w="109"/>
        <w:gridCol w:w="204"/>
        <w:gridCol w:w="543"/>
        <w:gridCol w:w="124"/>
        <w:gridCol w:w="109"/>
        <w:gridCol w:w="109"/>
        <w:gridCol w:w="109"/>
        <w:gridCol w:w="211"/>
        <w:gridCol w:w="756"/>
        <w:gridCol w:w="129"/>
        <w:gridCol w:w="109"/>
        <w:gridCol w:w="109"/>
        <w:gridCol w:w="109"/>
        <w:gridCol w:w="181"/>
        <w:gridCol w:w="646"/>
        <w:gridCol w:w="109"/>
        <w:gridCol w:w="327"/>
        <w:gridCol w:w="736"/>
        <w:gridCol w:w="171"/>
        <w:gridCol w:w="181"/>
        <w:gridCol w:w="406"/>
        <w:gridCol w:w="154"/>
      </w:tblGrid>
      <w:tr>
        <w:trPr/>
        <w:tc>
          <w:tcPr>
            <w:tcW w:w="6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7"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Stockholders’ Equity</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4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Mezzanine Equity</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B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C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4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Net loss</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(84,227)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(57,048)</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(141,275)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Issuance of common shares for services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Conversion of convertible debentures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473,825 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Other comprehensive gain, net of taxes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Non-controlling interest issued and related transfers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912 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Accrued preferred dividends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Conversion to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(1,085,664)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7,636,369 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(2,735,848)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(27,270)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Transfer of Series C Preferred Stock from Mezzanine equity to Stockholders' equity</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150,000 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(150,000)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June 30, 2025</w:t>
            </w:r>
          </w:p>
        </w:tc>
        <w:tc>
          <w:tcPr>
            <w:tcW w:w="73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33,144</w:t>
            </w: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150,000</w:t>
            </w: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55,221,494</w:t>
            </w: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525,345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(305,512)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(1,289)</w:t>
            </w:r>
          </w:p>
        </w:tc>
        <w:tc>
          <w:tcPr>
            <w:tcW w:w="1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207,508</w:t>
            </w:r>
            <w:r>
              <w:rPr>
                <w:color w:val="000000"/>
              </w:rPr>
              <w:t> </w:t>
            </w:r>
          </w:p>
        </w:tc>
        <w:tc>
          <w:tcPr>
            <w:tcW w:w="1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426,058</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9476" w:type="dxa"/>
        <w:jc w:val="left"/>
        <w:tblInd w:w="0" w:type="dxa"/>
        <w:tblLayout w:type="fixed"/>
        <w:tblCellMar>
          <w:top w:w="28" w:type="dxa"/>
          <w:left w:w="28" w:type="dxa"/>
          <w:bottom w:w="28" w:type="dxa"/>
          <w:right w:w="28" w:type="dxa"/>
        </w:tblCellMar>
      </w:tblPr>
      <w:tblGrid>
        <w:gridCol w:w="2033"/>
        <w:gridCol w:w="1788"/>
        <w:gridCol w:w="1804"/>
        <w:gridCol w:w="353"/>
        <w:gridCol w:w="1174"/>
        <w:gridCol w:w="212"/>
        <w:gridCol w:w="109"/>
        <w:gridCol w:w="109"/>
        <w:gridCol w:w="109"/>
        <w:gridCol w:w="211"/>
        <w:gridCol w:w="790"/>
        <w:gridCol w:w="784"/>
      </w:tblGrid>
      <w:tr>
        <w:trPr/>
        <w:tc>
          <w:tcPr>
            <w:tcW w:w="2033"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Six Months Ended June 30, 2025</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Cash Flows Used in Operating Activities</w:t>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(62,697)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(394,949)</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4"/>
              </w:rPr>
            </w:pPr>
            <w:r>
              <w:rPr>
                <w:rFonts w:ascii="Times New Roman;serif" w:hAnsi="Times New Roman;serif"/>
                <w:b w:val="false"/>
                <w:i/>
                <w:color w:val="000000"/>
                <w:sz w:val="14"/>
              </w:rPr>
              <w:t>Adjustments to reconcile net loss to net cash and cash equivalents used in operating activities:</w:t>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10,309 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15,247 </w:t>
            </w:r>
          </w:p>
        </w:tc>
        <w:tc>
          <w:tcPr>
            <w:tcW w:w="784"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income on debt securities - related party</w:t>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(180)</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(195)</w:t>
            </w:r>
          </w:p>
        </w:tc>
        <w:tc>
          <w:tcPr>
            <w:tcW w:w="784"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Change in fair value of financial liabilities</w:t>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2,125 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(23,605)</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Non-cash interest expense on notes payable</w:t>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1,119 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2,560 </w:t>
            </w:r>
          </w:p>
        </w:tc>
        <w:tc>
          <w:tcPr>
            <w:tcW w:w="784"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gain on investments</w:t>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unpaid interest on note payable</w:t>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Equity method investment loss</w:t>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3,006 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8,680 </w:t>
            </w:r>
          </w:p>
        </w:tc>
        <w:tc>
          <w:tcPr>
            <w:tcW w:w="784"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Realized gain on conversion of available for sale investments</w:t>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(1,507)</w:t>
            </w:r>
          </w:p>
        </w:tc>
        <w:tc>
          <w:tcPr>
            <w:tcW w:w="784"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Loss on extinguishment of debt</w:t>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977 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3,462 </w:t>
            </w:r>
          </w:p>
        </w:tc>
        <w:tc>
          <w:tcPr>
            <w:tcW w:w="784"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Loss on extinguishment of related party debt</w:t>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3,538 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income taxes</w:t>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(4,585)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(3,897)</w:t>
            </w:r>
          </w:p>
        </w:tc>
        <w:tc>
          <w:tcPr>
            <w:tcW w:w="784"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Loss on disposal of PPE</w:t>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11,331 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11,182 </w:t>
            </w:r>
          </w:p>
        </w:tc>
        <w:tc>
          <w:tcPr>
            <w:tcW w:w="784"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Goodwill impairment</w:t>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346,557 </w:t>
            </w:r>
          </w:p>
        </w:tc>
        <w:tc>
          <w:tcPr>
            <w:tcW w:w="784"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costs</w:t>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1,100 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165 </w:t>
            </w:r>
          </w:p>
        </w:tc>
        <w:tc>
          <w:tcPr>
            <w:tcW w:w="784"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4"/>
              </w:rPr>
            </w:pPr>
            <w:r>
              <w:rPr>
                <w:rFonts w:ascii="Times New Roman;serif" w:hAnsi="Times New Roman;serif"/>
                <w:b w:val="false"/>
                <w:i/>
                <w:color w:val="000000"/>
                <w:sz w:val="14"/>
              </w:rPr>
              <w:t>Changes in operating assets and liabilities:</w:t>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receivable</w:t>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(1,025)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(618)</w:t>
            </w:r>
          </w:p>
        </w:tc>
        <w:tc>
          <w:tcPr>
            <w:tcW w:w="784"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Prepaid expenses and other current assets</w:t>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(4,779)</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(3,312)</w:t>
            </w:r>
          </w:p>
        </w:tc>
        <w:tc>
          <w:tcPr>
            <w:tcW w:w="784"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Inventory</w:t>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(1,385)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(1,442)</w:t>
            </w:r>
          </w:p>
        </w:tc>
        <w:tc>
          <w:tcPr>
            <w:tcW w:w="784"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w:t>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(619)</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315 </w:t>
            </w:r>
          </w:p>
        </w:tc>
        <w:tc>
          <w:tcPr>
            <w:tcW w:w="784"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employee benefits</w:t>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(6,365)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1,330 </w:t>
            </w:r>
          </w:p>
        </w:tc>
        <w:tc>
          <w:tcPr>
            <w:tcW w:w="784"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expenses</w:t>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(6,722)</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42 </w:t>
            </w:r>
          </w:p>
        </w:tc>
        <w:tc>
          <w:tcPr>
            <w:tcW w:w="784"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liability</w:t>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(686)</w:t>
            </w:r>
          </w:p>
        </w:tc>
        <w:tc>
          <w:tcPr>
            <w:tcW w:w="784"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Income taxes payable</w:t>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292 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ind w:left="0" w:right="0" w:firstLine="540"/>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current liabilities</w:t>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ind w:left="0" w:right="0" w:firstLine="540"/>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Payment of patent installment</w:t>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(700)</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(525)</w:t>
            </w:r>
          </w:p>
        </w:tc>
        <w:tc>
          <w:tcPr>
            <w:tcW w:w="784"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Contract liabilities</w:t>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690 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 xml:space="preserve">Net Cash Used In Operating Activities </w:t>
            </w:r>
          </w:p>
        </w:tc>
        <w:tc>
          <w:tcPr>
            <w:tcW w:w="1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(59,466)</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(36,754)</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Cash Flows Used In Investing Activities</w:t>
            </w:r>
          </w:p>
        </w:tc>
        <w:tc>
          <w:tcPr>
            <w:tcW w:w="17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 in available-for-sale debt securities - equity method investee</w:t>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(2,708)</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 of property, plant and equipment</w:t>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(1,074)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(932)</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Net Cash Used In Investing Activities</w:t>
            </w:r>
          </w:p>
        </w:tc>
        <w:tc>
          <w:tcPr>
            <w:tcW w:w="1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(1,074)</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(3,640)</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Cash Flows Provided By Financing Activities</w:t>
            </w:r>
          </w:p>
        </w:tc>
        <w:tc>
          <w:tcPr>
            <w:tcW w:w="17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issuance of equity, net of issuance costs</w:t>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50,229 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3,675 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the issuance of equity to non-controlling interest, net of issuance costs</w:t>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5,367 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the issuance of related party convertible promissory notes</w:t>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3,999 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the issuance of term convertible notes</w:t>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2,451 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issuance of debt securities, net of issuance costs</w:t>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27,000 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Payment of debts</w:t>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(8,595)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(1,176)</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stockholders and other</w:t>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Net Cash Provided By Financing Activities</w:t>
            </w:r>
          </w:p>
        </w:tc>
        <w:tc>
          <w:tcPr>
            <w:tcW w:w="1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41,634</w:t>
            </w:r>
            <w:r>
              <w:rPr>
                <w:color w:val="000000"/>
              </w:rPr>
              <w:t>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41,240</w:t>
            </w:r>
            <w:r>
              <w:rPr>
                <w:color w:val="000000"/>
              </w:rPr>
              <w:t> </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Increase (Decrease) in Cash, Cash Equivalents, and Restricted Cash</w:t>
            </w:r>
          </w:p>
        </w:tc>
        <w:tc>
          <w:tcPr>
            <w:tcW w:w="1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(18,906)</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846</w:t>
            </w:r>
            <w:r>
              <w:rPr>
                <w:color w:val="000000"/>
              </w:rPr>
              <w:t> </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Cash Equivalents and Restricted Cash, Beginning of period</w:t>
            </w:r>
          </w:p>
        </w:tc>
        <w:tc>
          <w:tcPr>
            <w:tcW w:w="1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65,449 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11,119 </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Cash, Cash Equivalents and Restricted Cash, End of period </w:t>
            </w:r>
          </w:p>
        </w:tc>
        <w:tc>
          <w:tcPr>
            <w:tcW w:w="3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11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46,543</w:t>
            </w:r>
            <w:r>
              <w:rPr>
                <w:color w:val="000000"/>
              </w:rPr>
              <w:t> </w:t>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11,965</w:t>
            </w:r>
            <w:r>
              <w:rPr>
                <w:color w:val="000000"/>
              </w:rPr>
              <w:t> </w:t>
            </w:r>
          </w:p>
        </w:tc>
        <w:tc>
          <w:tcPr>
            <w:tcW w:w="7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152"/>
        <w:gridCol w:w="1829"/>
        <w:gridCol w:w="1833"/>
        <w:gridCol w:w="448"/>
        <w:gridCol w:w="1272"/>
        <w:gridCol w:w="249"/>
        <w:gridCol w:w="109"/>
        <w:gridCol w:w="109"/>
        <w:gridCol w:w="109"/>
        <w:gridCol w:w="355"/>
        <w:gridCol w:w="1009"/>
        <w:gridCol w:w="731"/>
      </w:tblGrid>
      <w:tr>
        <w:trPr/>
        <w:tc>
          <w:tcPr>
            <w:tcW w:w="2152"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5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5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Cash Flow Information</w:t>
            </w:r>
          </w:p>
        </w:tc>
        <w:tc>
          <w:tcPr>
            <w:tcW w:w="19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4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1,825 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Financing Information</w:t>
            </w:r>
          </w:p>
        </w:tc>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4"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r>
      <w:tr>
        <w:trPr/>
        <w:tc>
          <w:tcPr>
            <w:tcW w:w="5814"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r>
      <w:tr>
        <w:trPr/>
        <w:tc>
          <w:tcPr>
            <w:tcW w:w="5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working capital loans to equity method investee into investments in debt securities - related party</w:t>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4,375 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4"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r>
      <w:tr>
        <w:trPr/>
        <w:tc>
          <w:tcPr>
            <w:tcW w:w="5814"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r>
      <w:tr>
        <w:trPr/>
        <w:tc>
          <w:tcPr>
            <w:tcW w:w="5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Extinguishment of debt with Series C Preferred Stock</w:t>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14,000 </w:t>
            </w:r>
          </w:p>
        </w:tc>
        <w:tc>
          <w:tcPr>
            <w:tcW w:w="7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 of Series C Preferred Stock to equity method investee</w:t>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5,783 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AFX available-for-sale term loan into equity method investments</w:t>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8,757 </w:t>
            </w:r>
          </w:p>
        </w:tc>
        <w:tc>
          <w:tcPr>
            <w:tcW w:w="73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as repayment of convertible debt</w:t>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2,533 </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vested RSUs</w:t>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 in exchange for services</w:t>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4,095 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preferred stock into common stock</w:t>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36,910 </w:t>
            </w:r>
          </w:p>
        </w:tc>
        <w:tc>
          <w:tcPr>
            <w:tcW w:w="7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Transfer of Series C Preferred Stock from Mezzanine to Stockholders' equity</w:t>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1,468 </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Embedded derivative in association with Convertible Debentures</w:t>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1,774 </w:t>
            </w:r>
          </w:p>
        </w:tc>
        <w:tc>
          <w:tcPr>
            <w:tcW w:w="73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reallocation between non-controlling interest and additional paid-in capital</w:t>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25,268 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4"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 Nature of Business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Unless the context otherwise requires, references herein to "Innventure", "we", "us", "our" and "the Company" refer to the business and operations of Innventure, Inc., and its consolidated subsidiaries.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Innventure is an industrial growth conglomerate that founds, funds, and operates companies with a focus on transformative, sustainable technology solutions that we acquire or license from technology innovators, which are typically multinational corporations (“MNCs”). As owner-operators, our goal is to take what we believe to be breakthrough technologies from evaluation to scaled commercialization utilizing an approach designed to help mitigate risk in collaboration with the MNCs (our channel partner(s)), as we build disruptive companies that we believe have the potential to achieve a target enterprise value of at least $1 billion. We define ‘‘disruptive’’ as innovations that, in our opinion, have the ability to significantly change the way businesses, industries, markets, and/or consumers operate. Innventure, Inc., is headquartered in Orlando, Florida.</w:t>
      </w:r>
    </w:p>
    <w:p>
      <w:pPr>
        <w:pStyle w:val="TextBody"/>
        <w:bidi w:val="0"/>
        <w:spacing w:before="120" w:after="283"/>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2. Accounting Policies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are unaudited and should be read in conjunction with the Company's most recent annual audited consolidated financial statements and notes thereto. These condensed consolidated financial statements have been prepared in accordance with the instructions for the Securities and Exchange Commission’s (“SEC’s”) Form 10-Q and Article 8 of Regulation S-X. Certain information and footnote disclosures normally included in financial statements prepared in accordance with U.S. generally accepted accounting principles ("GAAP") have been condensed or omitted pursuant to rules and regulations of the SEC, although the Company believes that the disclosures are adequate to make the information presented not misleading. In the opinion of management, all adjustments, consisting only of normal recurring adjustments considered necessary for a fair presentation of results of operations and financial position, have been included.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use the same accounting policies in preparing quarterly and annual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Going Concern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a cash balance of $41.5 million, a restricted cash balance of $5.0 million, accumulated deficit of $418.9 million and working capital of $11.7 million. The Company incurred net losses of $34.9 million and $62.7 million for the three and six months ended June 30, 2026, respectively. We have experienced recurring losses from operations and negative cash flows from operating activities. In addition, we continue to have an ongoing need to raise significant additional cash from outside sources to sustain our operations and fund our growth plans.</w:t>
      </w:r>
    </w:p>
    <w:p>
      <w:pPr>
        <w:pStyle w:val="TextBody"/>
        <w:bidi w:val="0"/>
        <w:spacing w:lineRule="auto" w:line="288" w:before="120" w:after="120"/>
        <w:jc w:val="both"/>
        <w:rPr/>
      </w:pPr>
      <w:r>
        <w:rPr>
          <w:rFonts w:ascii="Times New Roman;serif" w:hAnsi="Times New Roman;serif"/>
          <w:b w:val="false"/>
          <w:color w:val="000000"/>
          <w:sz w:val="20"/>
        </w:rPr>
        <w:t xml:space="preserve">In connection with our assessment of going concern considerations in accordance with Financial Accounting Standards Board’s (“FASB”) Accounting Standards Update (“ASU”) 2014-15, </w:t>
      </w:r>
      <w:r>
        <w:rPr>
          <w:color w:val="000000"/>
        </w:rPr>
        <w:t>“</w:t>
      </w:r>
      <w:r>
        <w:rPr>
          <w:rFonts w:ascii="Times New Roman;serif" w:hAnsi="Times New Roman;serif"/>
          <w:b w:val="false"/>
          <w:i/>
          <w:color w:val="000000"/>
          <w:sz w:val="20"/>
        </w:rPr>
        <w:t>Disclosures of Uncertainties about an Entity’s Ability to Continue as a Going Concern,”</w:t>
      </w:r>
      <w:r>
        <w:rPr>
          <w:color w:val="000000"/>
        </w:rPr>
        <w:t xml:space="preserve"> </w:t>
      </w:r>
      <w:r>
        <w:rPr>
          <w:rFonts w:ascii="Times New Roman;serif" w:hAnsi="Times New Roman;serif"/>
          <w:b w:val="false"/>
          <w:color w:val="000000"/>
          <w:sz w:val="20"/>
        </w:rPr>
        <w:t xml:space="preserve">management has determined that these conditions raise substantial doubt about our ability to continue as a going concern within one year after the date of issuance of the condensed consolidated financial statements included in Item 1. of this Form 10-Q. If we are unable to obtain adequate capital from public or private equity or debt financing, or otherwise generate sufficient revenues from the Innventure Companies to support our cost structure within the normal operating cycle of a twelve (12) month period, we may have to implement cost reduction measures or adjust the timing or scope of certain operations at Innventure or certain Innventure Companies, in part or in full, to help manage liquidity. If we raise additional funds through the issuance of additional debt or equity securities, it could result in substantial dilution to our existing stockholders and increased fixed payment obligations, and these securities may have rights senior to those of our common stock, $0.0001 par value per share (“Common Stock”).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can make no assurances that required financings will be available for the amounts needed, or on terms commercially acceptable to us, if at all. If subsequent capital raises or revenues from operations at the Innventure Companies are insufficient to bridge financial and liquidity shortfalls (or both), there would likely be a material adverse effect on our business and financial condition that would materially adversely affect our ability to continue as a going concern.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assuming that the Company will continue as a going concern within one year after the date of the accompanying condensed consolidated financial statements are issued; however, the above conditions raise substantial doubt about the Company’s ability to do so. The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There can be no assurance that management will be successful in implementing its business plan or that the successful implementation of such business plan will improve our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120" w:after="120"/>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w:t>
      </w:r>
      <w:r>
        <w:rPr>
          <w:color w:val="000000"/>
        </w:rPr>
        <w:t xml:space="preserve"> </w:t>
      </w:r>
      <w:r>
        <w:rPr>
          <w:rFonts w:ascii="Times New Roman;serif" w:hAnsi="Times New Roman;serif"/>
          <w:b w:val="false"/>
          <w:color w:val="000000"/>
          <w:sz w:val="20"/>
        </w:rPr>
        <w:t>("ASU 2023-09"), which requires disaggregated information about a reporting entity's effective tax rate reconciliation as well as information on income taxes paid to enhance the transparency and decision usefulness of income tax disclosures. The amendments in this ASU are effective for annual periods beginning after December 15, 2024 on a prospective basis. The Company adopted ASU 2023-09 for the year ended December 31, 2025. The Company has made the required disclosures related to this ASU within Note 13. Income Taxes.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Recently Issued But Not Yet Adopted Accounting Standards</w:t>
      </w:r>
    </w:p>
    <w:p>
      <w:pPr>
        <w:pStyle w:val="TextBody"/>
        <w:bidi w:val="0"/>
        <w:spacing w:lineRule="auto" w:line="288" w:before="120" w:after="120"/>
        <w:jc w:val="both"/>
        <w:rPr/>
      </w:pPr>
      <w:r>
        <w:rPr>
          <w:rFonts w:ascii="Times New Roman;serif" w:hAnsi="Times New Roman;serif"/>
          <w:b w:val="false"/>
          <w:color w:val="000000"/>
          <w:sz w:val="20"/>
        </w:rPr>
        <w:t xml:space="preserve">In October 2023, the FASB issued ASU 2023-06, </w:t>
      </w:r>
      <w:r>
        <w:rPr>
          <w:rFonts w:ascii="Times New Roman;serif" w:hAnsi="Times New Roman;serif"/>
          <w:b w:val="false"/>
          <w:i/>
          <w:color w:val="000000"/>
          <w:sz w:val="20"/>
        </w:rPr>
        <w:t xml:space="preserve">Disclosure Improvements: Codification Amendments in Response to the SEC’s Disclosure Update and Simplification Initiative </w:t>
      </w:r>
      <w:r>
        <w:rPr>
          <w:rFonts w:ascii="Times New Roman;serif" w:hAnsi="Times New Roman;serif"/>
          <w:b w:val="false"/>
          <w:color w:val="000000"/>
          <w:sz w:val="20"/>
        </w:rPr>
        <w:t>(“ASU 2023-06”). This standard modifies the disclosure or presentation requirements of a variety of topics and aligns requirements with the SEC’s existing disclosure requirements. ASU 2023-06 is effective on the date each amendment is removed from Regulation S-X or Regulation S-K with early adoption prohibited. The Company will monitor the removal of various requirements from the current regulations in order to determine when to adopt the related amendments but does not anticipate the adoption of the new guidance will have a material impact on the Company’s condensed consolidated financial statements. The Company will continue to evaluate the impact of this guidance on its condensed consolidated financial statements.</w:t>
      </w:r>
    </w:p>
    <w:p>
      <w:pPr>
        <w:pStyle w:val="TextBody"/>
        <w:bidi w:val="0"/>
        <w:spacing w:lineRule="auto" w:line="288" w:before="120" w:after="12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("ASU 2024-03"). In January 2025, the FASB issued Clarifying the Effective Date (“ASU 2025-01”) to add some clarity around the effective date of the guidance. ASU 2024-03 requires disclosures about specific types of expenses included in the expense captions presented on the face of the income statement as well as disclosures about selling expenses. The new standard is effective for fiscal years beginning after December 15, 2026, and for interim periods within fiscal years beginning after December 15, 2027. Early adoption is permitted. The amendments may be applied either prospectively, to financial statements issued after the effective date, or retrospectively, to all prior periods presented. The Company is currently evaluating the impact that the adoption of this accounting standard will have on its condensed consolidated financial statements.</w:t>
      </w:r>
    </w:p>
    <w:p>
      <w:pPr>
        <w:pStyle w:val="TextBody"/>
        <w:bidi w:val="0"/>
        <w:spacing w:lineRule="auto" w:line="288" w:before="120" w:after="120"/>
        <w:jc w:val="both"/>
        <w:rPr/>
      </w:pPr>
      <w:r>
        <w:rPr>
          <w:rFonts w:ascii="Times New Roman;serif" w:hAnsi="Times New Roman;serif"/>
          <w:b w:val="false"/>
          <w:color w:val="000000"/>
          <w:sz w:val="20"/>
        </w:rPr>
        <w:t xml:space="preserve">In April 2026, the FASB issued ASU 2026-01, Equity (Topic 505): </w:t>
      </w:r>
      <w:r>
        <w:rPr>
          <w:rFonts w:ascii="Times New Roman;serif" w:hAnsi="Times New Roman;serif"/>
          <w:b w:val="false"/>
          <w:i/>
          <w:color w:val="000000"/>
          <w:sz w:val="20"/>
        </w:rPr>
        <w:t>Initial Measurement of Paid-in Kind Dividends on Equity-Classified Preferred Stock</w:t>
      </w:r>
      <w:r>
        <w:rPr>
          <w:rFonts w:ascii="Times New Roman;serif" w:hAnsi="Times New Roman;serif"/>
          <w:b w:val="false"/>
          <w:color w:val="000000"/>
          <w:sz w:val="20"/>
        </w:rPr>
        <w:t xml:space="preserve">, which is to provide guidance on initial measurement of paid-in-kind (“PIK”) dividends on equity classified preferred stock. The amendments do not affect an entity’s determination of when to recognize PIK dividends. The amendments in this ASU are effective for the fiscal years beginning after December 15, 2026, and interim reporting periods within those annual reporting periods. Early adoption is permitted. If elected, the amendments in this ASU can be applied on a prospective basis or on a modified retrospective basis for equity-classified preferred stock instruments that are outstanding as of the initial application date. The Company is currently evaluating the impact ASU 2026-01 will have on its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3. Investments</w:t>
      </w:r>
    </w:p>
    <w:tbl>
      <w:tblPr>
        <w:tblW w:w="6310" w:type="dxa"/>
        <w:jc w:val="left"/>
        <w:tblInd w:w="0" w:type="dxa"/>
        <w:tblLayout w:type="fixed"/>
        <w:tblCellMar>
          <w:top w:w="28" w:type="dxa"/>
          <w:left w:w="28" w:type="dxa"/>
          <w:bottom w:w="28" w:type="dxa"/>
          <w:right w:w="28" w:type="dxa"/>
        </w:tblCellMar>
      </w:tblPr>
      <w:tblGrid>
        <w:gridCol w:w="1065"/>
        <w:gridCol w:w="935"/>
        <w:gridCol w:w="940"/>
        <w:gridCol w:w="254"/>
        <w:gridCol w:w="889"/>
        <w:gridCol w:w="131"/>
        <w:gridCol w:w="109"/>
        <w:gridCol w:w="109"/>
        <w:gridCol w:w="109"/>
        <w:gridCol w:w="339"/>
        <w:gridCol w:w="1183"/>
        <w:gridCol w:w="247"/>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Equity-method investments</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16,489 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19,495 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equity, at fair value</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debt securities - AFS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Total Investments </w:t>
            </w:r>
          </w:p>
        </w:tc>
        <w:tc>
          <w:tcPr>
            <w:tcW w:w="2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26,644</w:t>
            </w:r>
            <w:r>
              <w:rPr>
                <w:color w:val="000000"/>
              </w:rPr>
              <w:t> </w:t>
            </w:r>
          </w:p>
        </w:tc>
        <w:tc>
          <w:tcPr>
            <w:tcW w:w="1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28,741</w:t>
            </w:r>
            <w:r>
              <w:rPr>
                <w:color w:val="000000"/>
              </w:rPr>
              <w:t> </w:t>
            </w:r>
          </w:p>
        </w:tc>
        <w:tc>
          <w:tcPr>
            <w:tcW w:w="2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i/>
          <w:color w:val="000000"/>
          <w:sz w:val="20"/>
        </w:rPr>
        <w:t>Equity-method investments</w:t>
      </w:r>
      <w:r>
        <w:rPr>
          <w:color w:val="000000"/>
        </w:rPr>
        <w:t xml:space="preserve">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ESG Fund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Innventus ESG Fund I, L.P. (the “ESG Fund”) is an investment company that follows a specialized basis of accounting established by GAAP. The Company’s general partnership interest in the ESG Fund is substantially illiquid. While the ESG Fund’s holdings are accounted for at fair value, the equity-method investment in the ESG Fund is adjusted to reflect the fair value of the underlying investments of the ESG Fund as of June 30, 2026 and December 31, 2025. The fair value of the underlying investments in the ESG Fund is based on the Company’s assessment, which takes into account expected cash flows, earnings multiples and/or comparisons to similar market transactions, among other factors. Valuation adjustments reflecting consideration of credit quality, concentration risk, sales restrictions and other liquidity factors are integral to valuing these instruments.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AeroFlexx</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held a 37.0% equity method investment interest in AeroFlexx as of June 30, 2026 and December 31, 2025.</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Investment in debt securities - Available for Sale (“AFS”)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July 1, 2024, the Company entered into a loan agreement with AeroFlexx under which the Company will lend up to $10.0 million to AeroFlexx.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term loans and any unpaid accrued interest are required to be repaid by the maturity date, which is the earlier of (i) December 31, 2026 or (ii) the date of the sale, transfer or other disposition of all AeroFlexx’s assets or AeroFlexx's stock. After any full or partial repayment of the term loans, AeroFlexx may borrow additional funds up to the $10.0 million limit until the maturity date. The loans bear interest at the applicable federal rate published by the Internal Revenue Service, which is adjusted on a quarterly basis.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an option to convert the outstanding principal amount of the term loans and any unpaid accrued interest into shares or units in connection with the next issuance of equity securities by AeroFlexx, at a price equal to 100% of the price per share or unit and on the same terms and conditions as applicable to such issuance.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outstanding principal and unpaid accrued interest with an amount equal to the equity deficit of $7.3 million was automatically converted into Class D Units of AeroFlexx (“Class D Units”) at the price of $6.83 per unit in accordance with the loan agreement. Upon conversion, a realized gain of $1.5 million was recognized for the year ended December 31, 2025 and is included in non-operating income in the condensed consolidated statements of operations and comprehensive income (loss).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principal balance drawn as of June 30, 2026 was $10.0 million. During the year ended December 31, 2025, $4.4 million was reclassified from Due from related parties under the term loan and $2.7 million was drawn down by AeroFlexx under the term loan.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accounted for the loans as an investment in debt securities and classified them as available for sale (“AFS”) debt securities. Based on the AFS classification, the Company records this investment at fair value at each reporting date and as such recorded the changes in fair value of these loans (including the adjustment to fair value at inception date) in Other comprehensive income ("OCI").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the contractual maturity of the loan is December 31, 2026, it is included in the line item Investments of the condensed consolidated balance sheets. The increase of $0.5 million and $0.6 million in fair value of this investment in debt securities for the three and six months ended June 30, 2026, respectively, is included as Unrealized income (loss) on available for sale debt securities - related party in the condensed consolidated statements of operations and comprehensive income (loss). The Company recognized an increase of $0.2 million and decrease of $0.7 million in fair value of the investment in debt securities for the three and six months ended June 30, 2025, respectively.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Company’s carrying amount and maximum exposure relating to additional AeroFlexx advances and other receivables were $16.3 million and $10.8 million as of June 30, 2026 and December 31, 2025, respectively, included in Due from related parties on the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4. Fair Value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the Company’s fair value hierarchy for assets and liabilities measured at fair value on a recurring basis (in thousands): </w:t>
      </w:r>
    </w:p>
    <w:tbl>
      <w:tblPr>
        <w:tblW w:w="9925" w:type="dxa"/>
        <w:jc w:val="left"/>
        <w:tblInd w:w="0" w:type="dxa"/>
        <w:tblLayout w:type="fixed"/>
        <w:tblCellMar>
          <w:top w:w="28" w:type="dxa"/>
          <w:left w:w="28" w:type="dxa"/>
          <w:bottom w:w="28" w:type="dxa"/>
          <w:right w:w="28" w:type="dxa"/>
        </w:tblCellMar>
      </w:tblPr>
      <w:tblGrid>
        <w:gridCol w:w="1621"/>
        <w:gridCol w:w="946"/>
        <w:gridCol w:w="957"/>
        <w:gridCol w:w="377"/>
        <w:gridCol w:w="835"/>
        <w:gridCol w:w="197"/>
        <w:gridCol w:w="109"/>
        <w:gridCol w:w="109"/>
        <w:gridCol w:w="109"/>
        <w:gridCol w:w="371"/>
        <w:gridCol w:w="1085"/>
        <w:gridCol w:w="193"/>
        <w:gridCol w:w="109"/>
        <w:gridCol w:w="109"/>
        <w:gridCol w:w="109"/>
        <w:gridCol w:w="258"/>
        <w:gridCol w:w="883"/>
        <w:gridCol w:w="135"/>
        <w:gridCol w:w="109"/>
        <w:gridCol w:w="109"/>
        <w:gridCol w:w="109"/>
        <w:gridCol w:w="211"/>
        <w:gridCol w:w="721"/>
        <w:gridCol w:w="154"/>
      </w:tblGrid>
      <w:tr>
        <w:trPr/>
        <w:tc>
          <w:tcPr>
            <w:tcW w:w="162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Quoted Prices</w:t>
              <w:br/>
              <w:t>in Active</w:t>
              <w:br/>
              <w:t>Markets for</w:t>
              <w:br/>
              <w:t>Identical Assets</w:t>
              <w:br/>
              <w:t>(Level 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 Other</w:t>
              <w:br/>
              <w:t>Observable Inputs</w:t>
              <w:br/>
              <w:t>(Level 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w:t>
              <w:br/>
              <w:t>Unobservable</w:t>
              <w:br/>
              <w:t>Inputs</w:t>
              <w:br/>
              <w:t>(Level 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6401"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Exchange-traded investments at fair value</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debt security - AFS</w:t>
            </w:r>
          </w:p>
        </w:tc>
        <w:tc>
          <w:tcPr>
            <w:tcW w:w="3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10,049 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w:t>
            </w:r>
          </w:p>
        </w:tc>
        <w:tc>
          <w:tcPr>
            <w:tcW w:w="3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2024 WTI Warrant liability</w:t>
            </w:r>
          </w:p>
        </w:tc>
        <w:tc>
          <w:tcPr>
            <w:tcW w:w="3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15,510 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WTI Warrant liability</w:t>
            </w:r>
          </w:p>
        </w:tc>
        <w:tc>
          <w:tcPr>
            <w:tcW w:w="3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 liability</w:t>
            </w:r>
          </w:p>
        </w:tc>
        <w:tc>
          <w:tcPr>
            <w:tcW w:w="3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78"/>
        <w:gridCol w:w="575"/>
        <w:gridCol w:w="577"/>
        <w:gridCol w:w="695"/>
        <w:gridCol w:w="1340"/>
        <w:gridCol w:w="364"/>
        <w:gridCol w:w="109"/>
        <w:gridCol w:w="109"/>
        <w:gridCol w:w="109"/>
        <w:gridCol w:w="397"/>
        <w:gridCol w:w="1357"/>
        <w:gridCol w:w="206"/>
        <w:gridCol w:w="109"/>
        <w:gridCol w:w="109"/>
        <w:gridCol w:w="109"/>
        <w:gridCol w:w="393"/>
        <w:gridCol w:w="1346"/>
        <w:gridCol w:w="205"/>
        <w:gridCol w:w="109"/>
        <w:gridCol w:w="109"/>
        <w:gridCol w:w="109"/>
        <w:gridCol w:w="211"/>
        <w:gridCol w:w="721"/>
        <w:gridCol w:w="159"/>
      </w:tblGrid>
      <w:tr>
        <w:trPr/>
        <w:tc>
          <w:tcPr>
            <w:tcW w:w="67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Quoted Prices in Active Markets for Identical Assets</w:t>
              <w:br/>
              <w:t>(Level 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 Other Observable Inputs</w:t>
              <w:br/>
              <w:t>(Level 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Significant Unobservable Inputs </w:t>
              <w:br/>
              <w:t>(Level 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8375"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debt security - AFS</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9,246 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WTI Warrant liability</w:t>
            </w:r>
          </w:p>
        </w:tc>
        <w:tc>
          <w:tcPr>
            <w:tcW w:w="6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13,080 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WTI Warrant liability</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 liability</w:t>
            </w:r>
          </w:p>
        </w:tc>
        <w:tc>
          <w:tcPr>
            <w:tcW w:w="6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11,148 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Gains and losses for such assets and liabilities categorized within the Level 3 table set forth may include changes in fair value that are attributable to both observable inputs (Levels 1 and 2) and unobservable inputs (Level 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the estimated fair value of Level 3 financial assets and liabilities that are measured on a recurring basis are as follows (in thousands): </w:t>
      </w:r>
    </w:p>
    <w:tbl>
      <w:tblPr>
        <w:tblW w:w="10205" w:type="dxa"/>
        <w:jc w:val="left"/>
        <w:tblInd w:w="0" w:type="dxa"/>
        <w:tblLayout w:type="fixed"/>
        <w:tblCellMar>
          <w:top w:w="28" w:type="dxa"/>
          <w:left w:w="28" w:type="dxa"/>
          <w:bottom w:w="28" w:type="dxa"/>
          <w:right w:w="28" w:type="dxa"/>
        </w:tblCellMar>
      </w:tblPr>
      <w:tblGrid>
        <w:gridCol w:w="565"/>
        <w:gridCol w:w="394"/>
        <w:gridCol w:w="396"/>
        <w:gridCol w:w="109"/>
        <w:gridCol w:w="109"/>
        <w:gridCol w:w="295"/>
        <w:gridCol w:w="1030"/>
        <w:gridCol w:w="152"/>
        <w:gridCol w:w="109"/>
        <w:gridCol w:w="109"/>
        <w:gridCol w:w="109"/>
        <w:gridCol w:w="231"/>
        <w:gridCol w:w="807"/>
        <w:gridCol w:w="119"/>
        <w:gridCol w:w="109"/>
        <w:gridCol w:w="109"/>
        <w:gridCol w:w="109"/>
        <w:gridCol w:w="273"/>
        <w:gridCol w:w="953"/>
        <w:gridCol w:w="141"/>
        <w:gridCol w:w="109"/>
        <w:gridCol w:w="109"/>
        <w:gridCol w:w="109"/>
        <w:gridCol w:w="285"/>
        <w:gridCol w:w="853"/>
        <w:gridCol w:w="147"/>
        <w:gridCol w:w="109"/>
        <w:gridCol w:w="109"/>
        <w:gridCol w:w="109"/>
        <w:gridCol w:w="430"/>
        <w:gridCol w:w="1286"/>
        <w:gridCol w:w="322"/>
      </w:tblGrid>
      <w:tr>
        <w:trPr/>
        <w:tc>
          <w:tcPr>
            <w:tcW w:w="56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Investment in debt securities - AFS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Earnout liability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WTI Warrant liability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WTI Warrant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Embedded derivative liability (asset) - Convertible Debentures</w:t>
            </w:r>
          </w:p>
        </w:tc>
      </w:tr>
      <w:tr>
        <w:trPr/>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7"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January 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11,187</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14,752</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17,230</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9,017</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4,370</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12,450</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3,400</w:t>
            </w: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1,796</w:t>
            </w:r>
            <w:r>
              <w:rPr>
                <w:color w:val="000000"/>
              </w:rPr>
              <w:t>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9,246</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3,890</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13,080</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3,230</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r>
      <w:tr>
        <w:trPr/>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10,049</w:t>
            </w:r>
            <w:r>
              <w:rPr>
                <w:color w:val="000000"/>
              </w:rPr>
              <w:t> </w:t>
            </w:r>
          </w:p>
        </w:tc>
        <w:tc>
          <w:tcPr>
            <w:tcW w:w="1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4,790</w:t>
            </w:r>
            <w:r>
              <w:rPr>
                <w:color w:val="000000"/>
              </w:rPr>
              <w:t> </w:t>
            </w:r>
          </w:p>
        </w:tc>
        <w:tc>
          <w:tcPr>
            <w:tcW w:w="1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15,510</w:t>
            </w:r>
            <w:r>
              <w:rPr>
                <w:color w:val="000000"/>
              </w:rPr>
              <w:t> </w:t>
            </w:r>
          </w:p>
        </w:tc>
        <w:tc>
          <w:tcPr>
            <w:tcW w:w="1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3,240</w:t>
            </w:r>
            <w:r>
              <w:rPr>
                <w:color w:val="000000"/>
              </w:rPr>
              <w:t> </w:t>
            </w:r>
          </w:p>
        </w:tc>
        <w:tc>
          <w:tcPr>
            <w:tcW w:w="1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transfers in or out of levels during the three and six months ended June 30, 2026 and 2025. </w:t>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significant unobservable inputs (Level 3):</w:t>
      </w:r>
    </w:p>
    <w:tbl>
      <w:tblPr>
        <w:tblW w:w="8890" w:type="dxa"/>
        <w:jc w:val="left"/>
        <w:tblInd w:w="0" w:type="dxa"/>
        <w:tblLayout w:type="fixed"/>
        <w:tblCellMar>
          <w:top w:w="28" w:type="dxa"/>
          <w:left w:w="28" w:type="dxa"/>
          <w:bottom w:w="28" w:type="dxa"/>
          <w:right w:w="28" w:type="dxa"/>
        </w:tblCellMar>
      </w:tblPr>
      <w:tblGrid>
        <w:gridCol w:w="124"/>
        <w:gridCol w:w="109"/>
        <w:gridCol w:w="109"/>
        <w:gridCol w:w="814"/>
        <w:gridCol w:w="814"/>
        <w:gridCol w:w="816"/>
        <w:gridCol w:w="764"/>
        <w:gridCol w:w="764"/>
        <w:gridCol w:w="767"/>
        <w:gridCol w:w="315"/>
        <w:gridCol w:w="766"/>
        <w:gridCol w:w="631"/>
        <w:gridCol w:w="109"/>
        <w:gridCol w:w="109"/>
        <w:gridCol w:w="109"/>
        <w:gridCol w:w="360"/>
        <w:gridCol w:w="871"/>
        <w:gridCol w:w="5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Principal Valuation</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Techniques</w:t>
            </w:r>
          </w:p>
        </w:tc>
        <w:tc>
          <w:tcPr>
            <w:tcW w:w="22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Unobservable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Inputs</w:t>
            </w:r>
          </w:p>
        </w:tc>
        <w:tc>
          <w:tcPr>
            <w:tcW w:w="17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8890" w:type="dxa"/>
            <w:gridSpan w:val="18"/>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Investment in debt securities - AFS: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Discounted Cash Flows</w:t>
            </w:r>
          </w:p>
        </w:tc>
        <w:tc>
          <w:tcPr>
            <w:tcW w:w="229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AeroFlexx yield</w:t>
            </w:r>
          </w:p>
        </w:tc>
        <w:tc>
          <w:tcPr>
            <w:tcW w:w="108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63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53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890" w:type="dxa"/>
            <w:gridSpan w:val="1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Earnout Shares: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Geometric Brownian Motion</w:t>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1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years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5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risk premium</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volatility</w:t>
            </w:r>
          </w:p>
        </w:tc>
        <w:tc>
          <w:tcPr>
            <w:tcW w:w="108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1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137.80 </w:t>
            </w:r>
          </w:p>
        </w:tc>
        <w:tc>
          <w:tcPr>
            <w:tcW w:w="6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180"/>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157.30 </w:t>
            </w:r>
          </w:p>
        </w:tc>
        <w:tc>
          <w:tcPr>
            <w:tcW w:w="53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890" w:type="dxa"/>
            <w:gridSpan w:val="18"/>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2024 WTI Warrants: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Geometric Brownian Motion</w:t>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15" w:type="dxa"/>
            <w:tcBorders/>
            <w:shd w:fill="CCEEFF" w:val="clear"/>
            <w:tcMar>
              <w:top w:w="0" w:type="dxa"/>
              <w:left w:w="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5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 volatility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spread</w:t>
            </w:r>
          </w:p>
        </w:tc>
        <w:tc>
          <w:tcPr>
            <w:tcW w:w="108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6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53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890" w:type="dxa"/>
            <w:gridSpan w:val="18"/>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2025 WTI Warrants: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Geometric Brownian Motion</w:t>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15" w:type="dxa"/>
            <w:tcBorders/>
            <w:shd w:fill="CCEEFF" w:val="clear"/>
            <w:tcMar>
              <w:top w:w="0" w:type="dxa"/>
              <w:left w:w="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5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 volatility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spread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539" w:type="dxa"/>
            <w:tcBorders/>
            <w:shd w:fill="CCEEFF" w:val="clear"/>
            <w:tcMar>
              <w:top w:w="0" w:type="dxa"/>
              <w:left w:w="0" w:type="dxa"/>
              <w:bottom w:w="0" w:type="dxa"/>
              <w:right w:w="0" w:type="dxa"/>
            </w:tcMar>
            <w:vAlign w:val="center"/>
          </w:tcPr>
          <w:p>
            <w:pPr>
              <w:pStyle w:val="TableContents"/>
              <w:bidi w:val="0"/>
              <w:spacing w:lineRule="auto" w:line="288" w:before="120" w:after="12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548" w:type="dxa"/>
            <w:gridSpan w:val="15"/>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548" w:type="dxa"/>
            <w:gridSpan w:val="15"/>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Outstanding principal and accrued interest of $7.3 million for the investment in debt securities - AFS was automatically converted into Class D Units in accordance with the loan agreement. Prior to the conversion, the fair value was estimated using a Black-Scholes model. Post conversion, the fair value is estimated using a discounted cash flow model by discounting the contractual debt cash flows at a rate incorporating the credit risk of AeroFlexx.</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initial fair value of the 2025 WTI Warrants (as defined and further described below) was determined using a Monte Carlo valuation model in which the future stock price is simulated assuming a Geometric Brownian Motion in a risk-neutral framework. The model utilizes significant assumptions including stock price, stock price volatility and credit spread. Specifically, the initial valuation as of the April 14, 2025 issuance date considered a stock price of $3.65, stock price volatility of 57.00%, and credit spread of 27.70%.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further information on the Earnout Shares (as defined below), 2024 WTI Warrants (as defined below), and 2025 WTI Warrants, refer to Note 9. Earnout Shares and Note 10. Warrants.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further discussed and defined in Note 5. Borrowings, the Company issued Convertible Debentures (as defined below) which contain certain features which qualify as embedded derivatives requiring bifurcation. The fair value of the embedded derivative is determined utilizing a “with and without” method, in which the fair value is calculated as the difference in the fair value of the entire hybrid instrument and the fair value of the instrument excluding the bifurcated derivative features. The initial fair value of the embedded derivative was determined using a discounted cash flow model as of April 14, 2025 and May 15, 2025 which is reflective of the dates of the Convertible Debenture issuances. The model uses a significant assumption of a debt yield of 44.5% for the April 14, 2025 issuance and 42.6% for the May 15, 2025 issuance.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5. Borrowings</w:t>
      </w:r>
    </w:p>
    <w:tbl>
      <w:tblPr>
        <w:tblW w:w="10205" w:type="dxa"/>
        <w:jc w:val="left"/>
        <w:tblInd w:w="0" w:type="dxa"/>
        <w:tblLayout w:type="fixed"/>
        <w:tblCellMar>
          <w:top w:w="28" w:type="dxa"/>
          <w:left w:w="28" w:type="dxa"/>
          <w:bottom w:w="28" w:type="dxa"/>
          <w:right w:w="28" w:type="dxa"/>
        </w:tblCellMar>
      </w:tblPr>
      <w:tblGrid>
        <w:gridCol w:w="1380"/>
        <w:gridCol w:w="1199"/>
        <w:gridCol w:w="1201"/>
        <w:gridCol w:w="330"/>
        <w:gridCol w:w="330"/>
        <w:gridCol w:w="331"/>
        <w:gridCol w:w="267"/>
        <w:gridCol w:w="799"/>
        <w:gridCol w:w="137"/>
        <w:gridCol w:w="382"/>
        <w:gridCol w:w="382"/>
        <w:gridCol w:w="383"/>
        <w:gridCol w:w="109"/>
        <w:gridCol w:w="109"/>
        <w:gridCol w:w="109"/>
        <w:gridCol w:w="345"/>
        <w:gridCol w:w="1033"/>
        <w:gridCol w:w="179"/>
        <w:gridCol w:w="349"/>
        <w:gridCol w:w="349"/>
        <w:gridCol w:w="502"/>
      </w:tblGrid>
      <w:tr>
        <w:trPr/>
        <w:tc>
          <w:tcPr>
            <w:tcW w:w="138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Maturities</w:t>
            </w:r>
          </w:p>
        </w:tc>
        <w:tc>
          <w:tcPr>
            <w:tcW w:w="12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1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Interest Rates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2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Interest Rates</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4"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1 Promissory Notes</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15.00%</w:t>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convertible notes</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4.00% - 15%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debentures</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0.0% - 5%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convertible notes</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WTI Facility</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16,521 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19,441 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13.50%</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Total Notes Payable </w:t>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28,954</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37,356</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w:t>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related party convertible notes</w:t>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notes payable</w:t>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convertible notes</w:t>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Total Long-term Notes </w:t>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5,909</w:t>
            </w:r>
            <w:r>
              <w:rPr>
                <w:color w:val="000000"/>
              </w:rPr>
              <w:t> </w:t>
            </w:r>
          </w:p>
        </w:tc>
        <w:tc>
          <w:tcPr>
            <w:tcW w:w="1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8,327</w:t>
            </w:r>
            <w:r>
              <w:rPr>
                <w:color w:val="000000"/>
              </w:rPr>
              <w:t> </w:t>
            </w:r>
          </w:p>
        </w:tc>
        <w:tc>
          <w:tcPr>
            <w:tcW w:w="1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debt is carried on a historical cost basis net of unamortized discounts and premiums. Costs associated with acquiring debt are presented in the condensed consolidated balance sheets as a direct deduction from the carrying amount of the debt as a debt discount. Discounts on debt are amortized over the contractual life of the related debt instrument using the effective interest method (unless otherwise specified below) and are included in Interest expense, net in the condensed consolidated statements of operations and comprehensive income (loss).</w:t>
      </w:r>
    </w:p>
    <w:p>
      <w:pPr>
        <w:pStyle w:val="TextBody"/>
        <w:bidi w:val="0"/>
        <w:spacing w:lineRule="auto" w:line="288" w:before="120" w:after="120"/>
        <w:jc w:val="both"/>
        <w:rPr/>
      </w:pPr>
      <w:r>
        <w:rPr>
          <w:rFonts w:ascii="Times New Roman;serif" w:hAnsi="Times New Roman;serif"/>
          <w:b w:val="false"/>
          <w:color w:val="000000"/>
          <w:sz w:val="20"/>
        </w:rPr>
        <w:t>The Company’s notes payable, excluding debt issuance costs, mature as follows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3560" w:type="dxa"/>
        <w:jc w:val="left"/>
        <w:tblInd w:w="0" w:type="dxa"/>
        <w:tblLayout w:type="fixed"/>
        <w:tblCellMar>
          <w:top w:w="28" w:type="dxa"/>
          <w:left w:w="28" w:type="dxa"/>
          <w:bottom w:w="28" w:type="dxa"/>
          <w:right w:w="28" w:type="dxa"/>
        </w:tblCellMar>
      </w:tblPr>
      <w:tblGrid>
        <w:gridCol w:w="890"/>
        <w:gridCol w:w="782"/>
        <w:gridCol w:w="787"/>
        <w:gridCol w:w="211"/>
        <w:gridCol w:w="736"/>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six months)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28,954</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Series 1 Promissory Notes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2018, the Company authorized the issuance and sale of unsecured promissory notes to investors up to $35.0 million (the “Series 1 Promissory Notes”). From 2018 to 2021, the Company issued promissory notes with a total principal amount of $4.9 million. The notes require monthly interest payments, have an original maturity period of 36-48 months, and bear interest at 9%-12% per annum. The notes contain two term extension options, at the Company’s election, which can extend the notes’ maturity period to 60 months in total. If the Company elects its first term extension option, the note will bear interest at 12% for months 36 through 48. If the Company elects its second term extension option, the notes will bear interest at 15% for months 48 through 60.</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Extensions on Series 1 Promissory Notes were as follows (in thousands):</w:t>
      </w:r>
    </w:p>
    <w:tbl>
      <w:tblPr>
        <w:tblW w:w="7937" w:type="dxa"/>
        <w:jc w:val="left"/>
        <w:tblInd w:w="0" w:type="dxa"/>
        <w:tblLayout w:type="fixed"/>
        <w:tblCellMar>
          <w:top w:w="28" w:type="dxa"/>
          <w:left w:w="28" w:type="dxa"/>
          <w:bottom w:w="28" w:type="dxa"/>
          <w:right w:w="28" w:type="dxa"/>
        </w:tblCellMar>
      </w:tblPr>
      <w:tblGrid>
        <w:gridCol w:w="1576"/>
        <w:gridCol w:w="1384"/>
        <w:gridCol w:w="1389"/>
        <w:gridCol w:w="109"/>
        <w:gridCol w:w="109"/>
        <w:gridCol w:w="370"/>
        <w:gridCol w:w="713"/>
        <w:gridCol w:w="191"/>
        <w:gridCol w:w="109"/>
        <w:gridCol w:w="109"/>
        <w:gridCol w:w="109"/>
        <w:gridCol w:w="448"/>
        <w:gridCol w:w="992"/>
        <w:gridCol w:w="329"/>
      </w:tblGrid>
      <w:tr>
        <w:trPr/>
        <w:tc>
          <w:tcPr>
            <w:tcW w:w="1576"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amount of 2nd extension promissory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on Series 1 Promissory Notes was as follows (in thousands):</w:t>
      </w:r>
    </w:p>
    <w:tbl>
      <w:tblPr>
        <w:tblW w:w="9674" w:type="dxa"/>
        <w:jc w:val="left"/>
        <w:tblInd w:w="0" w:type="dxa"/>
        <w:tblLayout w:type="fixed"/>
        <w:tblCellMar>
          <w:top w:w="28" w:type="dxa"/>
          <w:left w:w="28" w:type="dxa"/>
          <w:bottom w:w="28" w:type="dxa"/>
          <w:right w:w="28" w:type="dxa"/>
        </w:tblCellMar>
      </w:tblPr>
      <w:tblGrid>
        <w:gridCol w:w="1276"/>
        <w:gridCol w:w="1121"/>
        <w:gridCol w:w="1127"/>
        <w:gridCol w:w="370"/>
        <w:gridCol w:w="713"/>
        <w:gridCol w:w="191"/>
        <w:gridCol w:w="115"/>
        <w:gridCol w:w="115"/>
        <w:gridCol w:w="115"/>
        <w:gridCol w:w="394"/>
        <w:gridCol w:w="677"/>
        <w:gridCol w:w="204"/>
        <w:gridCol w:w="109"/>
        <w:gridCol w:w="109"/>
        <w:gridCol w:w="109"/>
        <w:gridCol w:w="466"/>
        <w:gridCol w:w="568"/>
        <w:gridCol w:w="240"/>
        <w:gridCol w:w="112"/>
        <w:gridCol w:w="112"/>
        <w:gridCol w:w="112"/>
        <w:gridCol w:w="383"/>
        <w:gridCol w:w="657"/>
        <w:gridCol w:w="279"/>
      </w:tblGrid>
      <w:tr>
        <w:trPr/>
        <w:tc>
          <w:tcPr>
            <w:tcW w:w="127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attributable to contractual interest</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January 2026, the Company repaid the outstanding balance of the Series 1 Promissory Notes.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WTI Facility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October 22, 2024, the Company entered into a term loan with WTI Fund X, Inc. and WTI Fund XI, Inc. (collectively, “WTI Lenders”). The terms of the loan provide for a term loan facility in the aggregate principal amount of up to $50.0 million (the "WTI Facility"). The total aggregate principal was available in three separate tranches subject to the Company meeting certain conditions. The Company received $20.0 million (the “First Tranche”) on November 15, 2024. The First Tranche, principal and interest, shall be repaid over a period of 30 months in equal, monthly installments, commencing after an initial 12-month period of interest-only monthly payments, resulting in a total term of 42 months. The funds under each of the second tranche and the third tranche are no longer available to the Company.</w:t>
      </w:r>
    </w:p>
    <w:p>
      <w:pPr>
        <w:pStyle w:val="TextBody"/>
        <w:bidi w:val="0"/>
        <w:spacing w:lineRule="auto" w:line="288" w:before="120" w:after="120"/>
        <w:jc w:val="both"/>
        <w:rPr/>
      </w:pPr>
      <w:r>
        <w:rPr>
          <w:rFonts w:ascii="Times New Roman;serif" w:hAnsi="Times New Roman;serif"/>
          <w:b w:val="false"/>
          <w:color w:val="000000"/>
          <w:sz w:val="20"/>
        </w:rPr>
        <w:t xml:space="preserve">Borrowings under the WTI Facility will accrue interest at a rate per annum equal to the greater of (i) the “prime rate” of interest, as published by </w:t>
      </w:r>
      <w:r>
        <w:rPr>
          <w:rFonts w:ascii="Times New Roman;serif" w:hAnsi="Times New Roman;serif"/>
          <w:b w:val="false"/>
          <w:i/>
          <w:color w:val="000000"/>
          <w:sz w:val="20"/>
        </w:rPr>
        <w:t>The Wall Street Journal</w:t>
      </w:r>
      <w:r>
        <w:rPr>
          <w:color w:val="000000"/>
        </w:rPr>
        <w:t xml:space="preserve"> </w:t>
      </w:r>
      <w:r>
        <w:rPr>
          <w:rFonts w:ascii="Times New Roman;serif" w:hAnsi="Times New Roman;serif"/>
          <w:b w:val="false"/>
          <w:color w:val="000000"/>
          <w:sz w:val="20"/>
        </w:rPr>
        <w:t>on the date that the WTI Lenders prepare the promissory notes for the borrowings under such tranche, plus 5% and (ii) 13.50% and will amortize, after an interest-only period of 12 months in the case of the First Tranche in equal monthly installments over a period of 30 months. Obligations are secured by a lien on the majority of the assets of Innventure LLC and Innventure, Inc.</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March 21, 2025, in connection with the issuance of the first tranche of Convertible Debentures (as further described below) to Yorkville, the Company and Innventure LLC entered into a consent (the “Consent”) with WTI Fund X, LLC and WTI Fund XI, LLC (the “WTI Holders”) and the WTI Lenders, modifying the WTI Facility. Specifically, under the Consent, the Company and the WTI Lenders and WTI Holders agreed (i) that from and after the date that the Company receives the initial proceeds from the Convertible Debentures and until such time as such obligations have been paid in full, the Company must maintain at least $5.0 million of cash on deposit; (ii) that effective on the date that the Company receives the initial proceeds from the Convertible Debentures, the 2025 WTI Warrants will become issuable to the WTI Holders; and (iii) to certain additional consent provisions. Such provisions from the Consent became effective on April 14, 2025 when the Company received proceeds from the Convertible Debentures. The modification of the WTI Facility was accounted for as an extinguishment of debt though the WTI Facility remains outstanding, resulting in a loss on extinguishment of $3.5 million recorded on the consolidated statements of operations and comprehensive income (loss) for the year ended December 31, 2025. The legal requirement to maintain at least $5.0 million of cash on deposit is presented as Restricted cash on the condensed consolidated balance sheets.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WTI Facility, the Company issued the 2024 WTI Warrants and the 2025 WTI Warrants (collectively with the 2024 WTI Warrants, the “WTI Warrants”) to the WTI Holders (as further defined and described in Note 10. Warrants). The Company accounted for each of the WTI Warrants as detachable warrants at their fair value. The fair value of the WTI Warrants was recorded as a liability and as a discount to the WTI Facility on the condensed consolidated balance sheets. The WTI Warrants are classified as a liability in accordance with ASC 480, as they represent an instrument that is not an outstanding share and may require the issuer to settle the obligation by transferring assets, specifically cash. The Company is amortizing the discount over the term of the WTI Facility using the straight-line method. </w:t>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on this facility was as follows (in thousands):</w:t>
      </w:r>
    </w:p>
    <w:tbl>
      <w:tblPr>
        <w:tblW w:w="10205" w:type="dxa"/>
        <w:jc w:val="left"/>
        <w:tblInd w:w="0" w:type="dxa"/>
        <w:tblLayout w:type="fixed"/>
        <w:tblCellMar>
          <w:top w:w="28" w:type="dxa"/>
          <w:left w:w="28" w:type="dxa"/>
          <w:bottom w:w="28" w:type="dxa"/>
          <w:right w:w="28" w:type="dxa"/>
        </w:tblCellMar>
      </w:tblPr>
      <w:tblGrid>
        <w:gridCol w:w="1624"/>
        <w:gridCol w:w="1406"/>
        <w:gridCol w:w="1414"/>
        <w:gridCol w:w="304"/>
        <w:gridCol w:w="693"/>
        <w:gridCol w:w="156"/>
        <w:gridCol w:w="109"/>
        <w:gridCol w:w="109"/>
        <w:gridCol w:w="109"/>
        <w:gridCol w:w="264"/>
        <w:gridCol w:w="791"/>
        <w:gridCol w:w="136"/>
        <w:gridCol w:w="109"/>
        <w:gridCol w:w="109"/>
        <w:gridCol w:w="109"/>
        <w:gridCol w:w="264"/>
        <w:gridCol w:w="791"/>
        <w:gridCol w:w="136"/>
        <w:gridCol w:w="109"/>
        <w:gridCol w:w="109"/>
        <w:gridCol w:w="109"/>
        <w:gridCol w:w="261"/>
        <w:gridCol w:w="783"/>
        <w:gridCol w:w="201"/>
      </w:tblGrid>
      <w:tr>
        <w:trPr/>
        <w:tc>
          <w:tcPr>
            <w:tcW w:w="1624"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attributable to contractual interest</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attributable to amortization of issuance costs and discounts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 expense</w:t>
            </w:r>
          </w:p>
        </w:tc>
        <w:tc>
          <w:tcPr>
            <w:tcW w:w="3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810</w:t>
            </w:r>
            <w:r>
              <w:rPr>
                <w:color w:val="000000"/>
              </w:rPr>
              <w:t>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1,031</w:t>
            </w:r>
            <w:r>
              <w:rPr>
                <w:color w:val="000000"/>
              </w:rPr>
              <w:t> </w:t>
            </w:r>
          </w:p>
        </w:tc>
        <w:tc>
          <w:tcPr>
            <w:tcW w:w="1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2,085</w:t>
            </w:r>
            <w:r>
              <w:rPr>
                <w:color w:val="000000"/>
              </w:rPr>
              <w:t> </w:t>
            </w:r>
          </w:p>
        </w:tc>
        <w:tc>
          <w:tcPr>
            <w:tcW w:w="1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2,214</w:t>
            </w:r>
            <w:r>
              <w:rPr>
                <w:color w:val="000000"/>
              </w:rPr>
              <w:t> </w:t>
            </w:r>
          </w:p>
        </w:tc>
        <w:tc>
          <w:tcPr>
            <w:tcW w:w="2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Convertible Debentures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March 25, 2025, the Company entered into a securities purchase agreement (“Existing Purchase Agreement”) with Yorkville related to the issuance and sale of convertible debentures (“Existing Convertible Debentures” collectively with the New Convertible Debentures defined below, the “Convertible Debentures”) with an aggregate principal amount of up to $30.0 million. The Existing Convertible Debentures are convertible into shares of Common Stock and contain certain features that represent embedded derivatives, which are bifurcated and included within Prepaid expenses and other current assets on the condensed consolidated balance sheets. The Company issued the aggregate principal amount of the Existing Convertible Debentures in two tranches tied to separate reporting and filing requirements.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April 14, 2025, the Company issued the first tranche of the Existing Convertible Debentures with a principal amount of $20.0 million, resulting in cash proceeds to the Company of $18.0 million, representing an original issue discount of 10%. The first tranche was scheduled to be repaid in twelve monthly payments with a 5% payment premium due to the lender with each payment. Also on April 14, 2025, the Company issued two warrants (the “2025 WTI Warrants”) to purchase, at a price of $0.01 per share (subject to certain limitations and adjustment), up to an aggregate total of 495,074 shares of Common Stock, as of the date of issuance and June 30, 2026 (subject to future adjustments to the number and type of shares pursuant to the 2025 WTI Warrants), to the WTI Holders. Each of the 2025 WTI Warrants is exercisable through March 31, 2035. For further information on the 2025 WTI Warrants, refer to Note 10. Warrants.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May 15, 2025, the Company issued the second tranche of the Existing Convertible Debentures with a principal amount of $10.0 million, resulting in cash proceeds to the Company of $9.0 million, representing an original issue discount of 10%. The second tranche was scheduled to be repaid in eleven monthly payments with a 5% payment premium due to the lender with each payment. There is no contractual interest associated with amounts outstanding for the Existing Convertible Debentures for the three and six months ended June 30, 2026 and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September 15, 2025, the Company entered into an additional amendment to the Existing Purchase Agreement for the Existing Convertible Debentures (the “September 2025 Amendment”). Pursuant to the September 2025 Amendment, the Company and Yorkville agreed to amend the definition of conversion price so that the fixed price of $10.00 was reduced to $7.00 and a floor price of $1.59 was implemented. Additionally, the monthly payments applicable to the Existing Convertible Debentures were removed and replaced with repayment due upon maturity in connection with the early repayment of the approximately $2.0 million. The payment premium on this payment was waived. However, payments and related payment premiums resume should the Innventure stock price fall below the floor price, the Company issues in excess of 99% of Common Shares under the exchange cap or Yorkville is unable to utilize a registration statement to resell Common Shares.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15, 2025, the Company entered into a securities purchase agreement with Yorkville for up to $15.0 million in convertible debentures (“New Convertible Debentures”), issuable in two tranches. The first tranche of $10.0 million was issued with a 10% original issue discount, yielding $9.0 million in net proceeds, and bears 5% annual interest, with repayment due September 15, 2026. The debentures are convertible into Common Stock and contain certain features that represent embedded derivatives which are bifurcated and included within Prepaid expenses and other current assets on the condensed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November 12, 2025, the Company issued the second tranche of the New Convertible Debentures for $5.0 million. The debentures were issued with a 10% original issue discount, yielding $4.5 million in net proceeds, bear 5% annual interest, and mature on September 15,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September 2025 Amendment and first tranche of the New Convertible Debentures were accounted for collectively as a troubled debt restructuring. The Company determined that a concession was provided based on a decrease in the effective interest rate when compared to the original terms of the Existing Convertible Debentures. Under the troubled debt restructuring a loss on extinguishment of debt of $12.6 million was recorded on the consolidated statements of operations and comprehensive income (loss) for the year ended December 31,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27, 2026, the Company issued 304,377 shares of Common Stock due to the exercise of conversion option by Yorkville for a principal amount of $1.1 million of the Convertible Debentures. Additionally, the Company made a cash payment of $5.5 million inclusive of principal, interest and fees, satisfying the Convertible Debentures in full. The repayment of the Convertible Debentures resulted in an aggregate of $1.0 million loss on extinguishment of debt during the six months ended June 30, 2026. There was no loss on extinguishment of debt during the three months ended June 30, 2026.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on the Convertible Debentures was as follows (in thousands):</w:t>
      </w:r>
    </w:p>
    <w:tbl>
      <w:tblPr>
        <w:tblW w:w="10205" w:type="dxa"/>
        <w:jc w:val="left"/>
        <w:tblInd w:w="0" w:type="dxa"/>
        <w:tblLayout w:type="fixed"/>
        <w:tblCellMar>
          <w:top w:w="28" w:type="dxa"/>
          <w:left w:w="28" w:type="dxa"/>
          <w:bottom w:w="28" w:type="dxa"/>
          <w:right w:w="28" w:type="dxa"/>
        </w:tblCellMar>
      </w:tblPr>
      <w:tblGrid>
        <w:gridCol w:w="1521"/>
        <w:gridCol w:w="1332"/>
        <w:gridCol w:w="1338"/>
        <w:gridCol w:w="360"/>
        <w:gridCol w:w="693"/>
        <w:gridCol w:w="185"/>
        <w:gridCol w:w="109"/>
        <w:gridCol w:w="109"/>
        <w:gridCol w:w="109"/>
        <w:gridCol w:w="278"/>
        <w:gridCol w:w="832"/>
        <w:gridCol w:w="143"/>
        <w:gridCol w:w="109"/>
        <w:gridCol w:w="109"/>
        <w:gridCol w:w="109"/>
        <w:gridCol w:w="375"/>
        <w:gridCol w:w="669"/>
        <w:gridCol w:w="193"/>
        <w:gridCol w:w="109"/>
        <w:gridCol w:w="109"/>
        <w:gridCol w:w="109"/>
        <w:gridCol w:w="274"/>
        <w:gridCol w:w="823"/>
        <w:gridCol w:w="208"/>
      </w:tblGrid>
      <w:tr>
        <w:trPr/>
        <w:tc>
          <w:tcPr>
            <w:tcW w:w="1521"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4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attributable to contractual interest</w:t>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attributable to amortization of issuance costs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 expense</w:t>
            </w:r>
          </w:p>
        </w:tc>
        <w:tc>
          <w:tcPr>
            <w:tcW w:w="3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1,701</w:t>
            </w:r>
            <w:r>
              <w:rPr>
                <w:color w:val="000000"/>
              </w:rPr>
              <w:t> </w:t>
            </w:r>
          </w:p>
        </w:tc>
        <w:tc>
          <w:tcPr>
            <w:tcW w:w="1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w:t>
            </w:r>
            <w:r>
              <w:rPr>
                <w:color w:val="000000"/>
              </w:rPr>
              <w:t> </w:t>
            </w:r>
          </w:p>
        </w:tc>
        <w:tc>
          <w:tcPr>
            <w:tcW w:w="1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1,701</w:t>
            </w:r>
            <w:r>
              <w:rPr>
                <w:color w:val="000000"/>
              </w:rPr>
              <w:t> </w:t>
            </w:r>
          </w:p>
        </w:tc>
        <w:tc>
          <w:tcPr>
            <w:tcW w:w="2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Term Convertible Notes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At various dates in June and July of 2025, Accelsius entered into unsecured convertible notes with various other parties (the “Term Convertible Notes”) for a total principal amount of $7.8 million. The Term Convertible Notes have a stated maturity date of December 31, 2026 and bear interest at the annual applicable federal rate published by the Internal Revenue Service.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January 2, 2026, the Term Convertible Notes, which are subordinated to the WTI Facility, are convertible at the option of the lenders, for all amounts due under the notes at the time of conversion, into Accelsius’ Series A Units at a price per unit equal to $12.175. For as long as any portion of the WTI Facility remains outstanding, the lenders will not demand payment related to the Term Convertible Notes, unless they convert the debt into equity.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interest expense on the Term Convertible Notes was $0.1 million and $0.2 million for the three and six months ended June 30, 2026, respectively. Interest expense on the Term Convertible Notes was immaterial for the three and six months ended June 30, 2025.</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Related Party Convertible Notes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June of 2025, Accelsius entered into unsecured convertible notes (“Related Party Convertible Notes”) with certain investors deemed to be Related Parties (as defined in the Company’s Related Party Transactions Policy) for a total principal amount of $4.2 million. The Related Party Convertible Notes have a stated maturity date of December 31, 2026 and bear interest at the annual applicable federal rate published by the Internal Revenue Service.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Related Party Convertible Notes, which are subordinated to the WTI Facility, are convertible at the option of the lenders, starting January 2, 2026, for all amounts due under the notes at the time of conversion, into Accelsius’ Series A Units at a price per unit equal to $12.175. For as long as any portion of the WTI Facility remains outstanding, the Related Party Convertible Notes lenders will not demand payment related to the Related Party Convertible Notes, unless they convert the debt into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interest expense on Related Party Convertible Notes, including the amortization of the loan fee, was immaterial and $0.1 million for the three and six months ended June 30, 2026, respectively. Interest expense on Related Party Convertible Notes was immaterial for the three and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80"/>
        <w:jc w:val="both"/>
        <w:rPr>
          <w:rFonts w:ascii="Times New Roman;serif" w:hAnsi="Times New Roman;serif"/>
          <w:b/>
          <w:color w:val="000000"/>
          <w:sz w:val="20"/>
        </w:rPr>
      </w:pPr>
      <w:r>
        <w:rPr>
          <w:rFonts w:ascii="Times New Roman;serif" w:hAnsi="Times New Roman;serif"/>
          <w:b/>
          <w:color w:val="000000"/>
          <w:sz w:val="20"/>
        </w:rPr>
        <w:t>Note 6. Inventories, net</w:t>
      </w:r>
    </w:p>
    <w:tbl>
      <w:tblPr>
        <w:tblW w:w="7286" w:type="dxa"/>
        <w:jc w:val="left"/>
        <w:tblInd w:w="0" w:type="dxa"/>
        <w:tblLayout w:type="fixed"/>
        <w:tblCellMar>
          <w:top w:w="28" w:type="dxa"/>
          <w:left w:w="28" w:type="dxa"/>
          <w:bottom w:w="28" w:type="dxa"/>
          <w:right w:w="28" w:type="dxa"/>
        </w:tblCellMar>
      </w:tblPr>
      <w:tblGrid>
        <w:gridCol w:w="1418"/>
        <w:gridCol w:w="1244"/>
        <w:gridCol w:w="1253"/>
        <w:gridCol w:w="283"/>
        <w:gridCol w:w="846"/>
        <w:gridCol w:w="146"/>
        <w:gridCol w:w="109"/>
        <w:gridCol w:w="109"/>
        <w:gridCol w:w="109"/>
        <w:gridCol w:w="374"/>
        <w:gridCol w:w="1121"/>
        <w:gridCol w:w="274"/>
      </w:tblGrid>
      <w:tr>
        <w:trPr/>
        <w:tc>
          <w:tcPr>
            <w:tcW w:w="141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gross</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7,056</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7,555</w:t>
            </w:r>
            <w:r>
              <w:rPr>
                <w:color w:val="000000"/>
              </w:rPr>
              <w:t>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inventory excess and obsolescence</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inventories</w:t>
            </w:r>
          </w:p>
        </w:tc>
        <w:tc>
          <w:tcPr>
            <w:tcW w:w="2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2,989</w:t>
            </w:r>
            <w:r>
              <w:rPr>
                <w:color w:val="000000"/>
              </w:rPr>
              <w:t> </w:t>
            </w:r>
          </w:p>
        </w:tc>
        <w:tc>
          <w:tcPr>
            <w:tcW w:w="1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1,604</w:t>
            </w:r>
            <w:r>
              <w:rPr>
                <w:color w:val="000000"/>
              </w:rPr>
              <w:t> </w:t>
            </w:r>
          </w:p>
        </w:tc>
        <w:tc>
          <w:tcPr>
            <w:tcW w:w="2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Property, Plant and Equipment</w:t>
      </w:r>
    </w:p>
    <w:tbl>
      <w:tblPr>
        <w:tblW w:w="6656" w:type="dxa"/>
        <w:jc w:val="left"/>
        <w:tblInd w:w="0" w:type="dxa"/>
        <w:tblLayout w:type="fixed"/>
        <w:tblCellMar>
          <w:top w:w="28" w:type="dxa"/>
          <w:left w:w="28" w:type="dxa"/>
          <w:bottom w:w="28" w:type="dxa"/>
          <w:right w:w="28" w:type="dxa"/>
        </w:tblCellMar>
      </w:tblPr>
      <w:tblGrid>
        <w:gridCol w:w="1190"/>
        <w:gridCol w:w="1045"/>
        <w:gridCol w:w="1050"/>
        <w:gridCol w:w="283"/>
        <w:gridCol w:w="846"/>
        <w:gridCol w:w="146"/>
        <w:gridCol w:w="109"/>
        <w:gridCol w:w="109"/>
        <w:gridCol w:w="109"/>
        <w:gridCol w:w="374"/>
        <w:gridCol w:w="1121"/>
        <w:gridCol w:w="274"/>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&amp; equipment</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 &amp; office equipment</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Property, plant and equipment, gross </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3,713</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2,910</w:t>
            </w:r>
            <w:r>
              <w:rPr>
                <w:color w:val="000000"/>
              </w:rPr>
              <w:t>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Property, plant and equipment, net </w:t>
            </w:r>
          </w:p>
        </w:tc>
        <w:tc>
          <w:tcPr>
            <w:tcW w:w="2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2,269</w:t>
            </w:r>
            <w:r>
              <w:rPr>
                <w:color w:val="000000"/>
              </w:rPr>
              <w:t> </w:t>
            </w:r>
          </w:p>
        </w:tc>
        <w:tc>
          <w:tcPr>
            <w:tcW w:w="1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1,941</w:t>
            </w:r>
            <w:r>
              <w:rPr>
                <w:color w:val="000000"/>
              </w:rPr>
              <w:t> </w:t>
            </w:r>
          </w:p>
        </w:tc>
        <w:tc>
          <w:tcPr>
            <w:tcW w:w="2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expense was $0.3 million and $0.5 million for the three and six months ended June 30, 2026, respectively. Depreciation expense was $0.2 million and $0.4 million for the three and six months ended June 30, 2025, respectively.</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8. Goodwill and Intangible Assets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Goodwill balance was $323.5 million as of June 30, 2026 and December 31, 2025. In addition to annual impairment testing of goodwill, which is performed in the fourth quarter of each fiscal year, the Company continuously monitors for events and circumstances that could negatively impact the key assumptions used in determining fair value and therefore would require interim impairment testing, including long-term revenue growth projections, profitability, discount rates, volatility in the Company's market capitalization and general industry, market and macroeconomic conditions. Due to sustained decreases in the Company’s publicly quoted share price and market capitalization, which were, at least in part, sensitive to the general downward volatility experienced in the stock market during the prior year, the Company performed interim tests as of March 31, 2025 and June 30, 2025. As a result of the interim testing the Company recorded $113.3 million and $346.6 million in non-deductible, non-cash goodwill impairment charges, within the condensed consolidated statements of operations and comprehensive income (loss) during the three and six months ended June 30, 2025, respectively. There were no goodwill impairment charges for the three and six months ended June 30, 2026. As of June 30, 2026 and December 31, 2025, the Company recognized accumulated impairment losses on goodwill of $346.6 million.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June 30, 2025 goodwill impairment testing was performed using the income approach via a discounted cash flow model. The income approach estimates fair value by converting future cash flows to a current amount on the measurement date after taking into consideration marketplace conditions. Assumptions including discount rate and estimated future cash flows had a significant impact to the estimated fair value of the reporting unit. These fair values are Level 3 assets in the fair value hierarchy.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there are further adverse changes in the Company’s projected cash flows or further changes in key assumptions, including but not limited to an increase in the discount rate and further decline in the Company’s stock price, the Company may be required to record additional non-cash impairment charges to goodwill. Such non-cash charges could have a material adverse effect on the Company’s condensed consolidated statements of operations and comprehensive income (loss) and condensed consolidated balance sheets in the reporting period of the charge. </w:t>
      </w:r>
    </w:p>
    <w:p>
      <w:pPr>
        <w:pStyle w:val="TextBody"/>
        <w:bidi w:val="0"/>
        <w:spacing w:before="120" w:after="18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intangible assets, net</w:t>
      </w:r>
    </w:p>
    <w:tbl>
      <w:tblPr>
        <w:tblW w:w="10205" w:type="dxa"/>
        <w:jc w:val="left"/>
        <w:tblInd w:w="0" w:type="dxa"/>
        <w:tblLayout w:type="fixed"/>
        <w:tblCellMar>
          <w:top w:w="28" w:type="dxa"/>
          <w:left w:w="28" w:type="dxa"/>
          <w:bottom w:w="28" w:type="dxa"/>
          <w:right w:w="28" w:type="dxa"/>
        </w:tblCellMar>
      </w:tblPr>
      <w:tblGrid>
        <w:gridCol w:w="544"/>
        <w:gridCol w:w="336"/>
        <w:gridCol w:w="331"/>
        <w:gridCol w:w="534"/>
        <w:gridCol w:w="534"/>
        <w:gridCol w:w="535"/>
        <w:gridCol w:w="214"/>
        <w:gridCol w:w="855"/>
        <w:gridCol w:w="110"/>
        <w:gridCol w:w="228"/>
        <w:gridCol w:w="801"/>
        <w:gridCol w:w="120"/>
        <w:gridCol w:w="213"/>
        <w:gridCol w:w="852"/>
        <w:gridCol w:w="110"/>
        <w:gridCol w:w="109"/>
        <w:gridCol w:w="109"/>
        <w:gridCol w:w="109"/>
        <w:gridCol w:w="214"/>
        <w:gridCol w:w="855"/>
        <w:gridCol w:w="110"/>
        <w:gridCol w:w="228"/>
        <w:gridCol w:w="801"/>
        <w:gridCol w:w="120"/>
        <w:gridCol w:w="213"/>
        <w:gridCol w:w="851"/>
        <w:gridCol w:w="169"/>
      </w:tblGrid>
      <w:tr>
        <w:trPr/>
        <w:tc>
          <w:tcPr>
            <w:tcW w:w="54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Intangible Asset</w:t>
            </w:r>
          </w:p>
        </w:tc>
        <w:tc>
          <w:tcPr>
            <w:tcW w:w="1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Amortization Period Remaining (Years)</w:t>
            </w:r>
          </w:p>
        </w:tc>
        <w:tc>
          <w:tcPr>
            <w:tcW w:w="11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11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1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11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12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r>
      <w:tr>
        <w:trPr/>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2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6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14.3</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(1,946)</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(1,390)</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Developed technology </w:t>
            </w:r>
          </w:p>
        </w:tc>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165,100 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(33,158)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165,100 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(23,678)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141,422 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finite-lived intangible assets</w:t>
            </w:r>
          </w:p>
        </w:tc>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intangible assets</w:t>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187,530</w:t>
            </w:r>
            <w:r>
              <w:rPr>
                <w:color w:val="000000"/>
              </w:rPr>
              <w:t>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(37,801)</w:t>
            </w:r>
          </w:p>
        </w:tc>
        <w:tc>
          <w:tcPr>
            <w:tcW w:w="1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149,729</w:t>
            </w:r>
            <w:r>
              <w:rPr>
                <w:color w:val="000000"/>
              </w:rPr>
              <w:t>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187,530</w:t>
            </w:r>
            <w:r>
              <w:rPr>
                <w:color w:val="000000"/>
              </w:rPr>
              <w:t>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(26,993)</w:t>
            </w:r>
          </w:p>
        </w:tc>
        <w:tc>
          <w:tcPr>
            <w:tcW w:w="1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160,537</w:t>
            </w:r>
            <w:r>
              <w:rPr>
                <w:color w:val="000000"/>
              </w:rPr>
              <w:t> </w:t>
            </w:r>
          </w:p>
        </w:tc>
        <w:tc>
          <w:tcPr>
            <w:tcW w:w="1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of $5.4 million and $10.8 million was recognized for the three and six months ended June 30, 2026 and 2025, respectively, and is recorded within Cost of sales, General and administrative and Research and development on the condensed consolidated statements of operations and comprehensive income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both"/>
        <w:rPr/>
      </w:pPr>
      <w:r>
        <w:rPr>
          <w:rFonts w:ascii="Times New Roman;serif" w:hAnsi="Times New Roman;serif"/>
          <w:b w:val="false"/>
          <w:color w:val="000000"/>
          <w:sz w:val="20"/>
        </w:rPr>
        <w:t>Estimated future amortization expense is as follows (</w:t>
      </w:r>
      <w:r>
        <w:rPr>
          <w:rFonts w:ascii="Times New Roman;serif" w:hAnsi="Times New Roman;serif"/>
          <w:b w:val="false"/>
          <w:i/>
          <w:color w:val="000000"/>
          <w:sz w:val="20"/>
        </w:rPr>
        <w:t>in thousands</w:t>
      </w:r>
      <w:r>
        <w:rPr>
          <w:rFonts w:ascii="Times New Roman;serif" w:hAnsi="Times New Roman;serif"/>
          <w:b w:val="false"/>
          <w:color w:val="000000"/>
          <w:sz w:val="20"/>
        </w:rPr>
        <w:t xml:space="preserve">): </w:t>
      </w:r>
    </w:p>
    <w:tbl>
      <w:tblPr>
        <w:tblW w:w="4498" w:type="dxa"/>
        <w:jc w:val="left"/>
        <w:tblInd w:w="0" w:type="dxa"/>
        <w:tblLayout w:type="fixed"/>
        <w:tblCellMar>
          <w:top w:w="28" w:type="dxa"/>
          <w:left w:w="28" w:type="dxa"/>
          <w:bottom w:w="28" w:type="dxa"/>
          <w:right w:w="28" w:type="dxa"/>
        </w:tblCellMar>
      </w:tblPr>
      <w:tblGrid>
        <w:gridCol w:w="890"/>
        <w:gridCol w:w="782"/>
        <w:gridCol w:w="787"/>
        <w:gridCol w:w="355"/>
        <w:gridCol w:w="1422"/>
        <w:gridCol w:w="262"/>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Amortization Expense</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4"/>
              </w:rPr>
            </w:pPr>
            <w:r>
              <w:rPr>
                <w:rFonts w:ascii="Times New Roman;serif" w:hAnsi="Times New Roman;serif"/>
                <w:b w:val="false"/>
                <w:i/>
                <w:color w:val="000000"/>
                <w:sz w:val="14"/>
              </w:rPr>
              <w:t>(in thousands)</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six months)</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10,808 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63,588 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149,729</w:t>
            </w:r>
            <w:r>
              <w:rPr>
                <w:color w:val="000000"/>
              </w:rPr>
              <w:t> </w:t>
            </w:r>
          </w:p>
        </w:tc>
        <w:tc>
          <w:tcPr>
            <w:tcW w:w="2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9. Earnout Shares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further discussed in our Form 10-K, 5,000,000 “Company Earnout Shares” were contingently issuable and 344,828 “Sponsor Earnout Shares” were issued subject to clawback provisions. The Company Earnout Shares and the Sponsor Earnout Shares are collectively referred to as the “Earnout Shares” and are subject to certain vesting provisions.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7, 2025, a total of 344,828 Sponsor Earnout Shares fully vested and were no longer subject to contingencies as the Company’s public stock price had surpassed $11.50 for twenty consecutive days, thereby fulfilling the vesting provision for the Sponsor Earnout Shares. These vesting conditions were not effective on the Company Earnout Shares until 6 months following the Business Combination (as defined and further described in our Form 10-K).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January 8, 2025, the Company’s Board of Directors formally recognized the creation of the Refinity subsidiary, thereby meeting the milestone two conditions for the Company Earnout Shares. As such, 2,000,000 shares of Common Stock were issued on February 4, 2025 as a result of the satisfaction of the milestone.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April 2, 2026, the Company’s Board of Directors formally recognized Accelsius entering into a binding contract providing for revenue to the Company and certain affiliates in excess of $15.0 million, thereby meeting the milestone one condition for the Company Earnout Shares. Accordingly, 1,999,854 shares of Common Stock were issued on April 17, 2026 as a result of the satisfaction of the milestone.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Earnout Shares related to milestone three are liability classified and were fair valued at $4.8 million and $3.9 million as of June 30, 2026 and December 31, 2025, respectively. The Company recognized losses of $1.3 million and $0.9 million in Change in fair value of financial liabilities on the condensed consolidated statements of operations and comprehensive income (loss) for the three and six months ended June 30, 2026, respectively. The Change in fair value of financial liabilities for the three and six months ended June 30, 2025 were gains of $3.1 million and $9.5 million, respectively.</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10. Warrants</w:t>
      </w:r>
    </w:p>
    <w:tbl>
      <w:tblPr>
        <w:tblW w:w="10205" w:type="dxa"/>
        <w:jc w:val="left"/>
        <w:tblInd w:w="0" w:type="dxa"/>
        <w:tblLayout w:type="fixed"/>
        <w:tblCellMar>
          <w:top w:w="28" w:type="dxa"/>
          <w:left w:w="28" w:type="dxa"/>
          <w:bottom w:w="28" w:type="dxa"/>
          <w:right w:w="28" w:type="dxa"/>
        </w:tblCellMar>
      </w:tblPr>
      <w:tblGrid>
        <w:gridCol w:w="639"/>
        <w:gridCol w:w="561"/>
        <w:gridCol w:w="564"/>
        <w:gridCol w:w="797"/>
        <w:gridCol w:w="482"/>
        <w:gridCol w:w="484"/>
        <w:gridCol w:w="738"/>
        <w:gridCol w:w="493"/>
        <w:gridCol w:w="494"/>
        <w:gridCol w:w="520"/>
        <w:gridCol w:w="520"/>
        <w:gridCol w:w="521"/>
        <w:gridCol w:w="520"/>
        <w:gridCol w:w="520"/>
        <w:gridCol w:w="521"/>
        <w:gridCol w:w="729"/>
        <w:gridCol w:w="451"/>
        <w:gridCol w:w="651"/>
      </w:tblGrid>
      <w:tr>
        <w:trPr/>
        <w:tc>
          <w:tcPr>
            <w:tcW w:w="63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Public Warrants</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Private Warrants</w:t>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2024 WTI Warrants</w:t>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2025 WTI Warrants</w:t>
            </w:r>
          </w:p>
        </w:tc>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Series A Warrants</w:t>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December 31, 2025</w:t>
            </w:r>
          </w:p>
        </w:tc>
        <w:tc>
          <w:tcPr>
            <w:tcW w:w="12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11,240,688</w:t>
            </w:r>
            <w:r>
              <w:rPr>
                <w:color w:val="000000"/>
              </w:rPr>
              <w:t>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7,146,000</w:t>
            </w:r>
            <w:r>
              <w:rPr>
                <w:color w:val="000000"/>
              </w:rPr>
              <w:t> </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1,625,235</w:t>
            </w:r>
            <w:r>
              <w:rPr>
                <w:color w:val="000000"/>
              </w:rPr>
              <w:t>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Exercised </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Issued</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June 30, 2026</w:t>
            </w:r>
          </w:p>
        </w:tc>
        <w:tc>
          <w:tcPr>
            <w:tcW w:w="1279"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11,240,688</w:t>
            </w:r>
            <w:r>
              <w:rPr>
                <w:color w:val="000000"/>
              </w:rPr>
              <w:t> </w:t>
            </w:r>
          </w:p>
        </w:tc>
        <w:tc>
          <w:tcPr>
            <w:tcW w:w="4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7,146,000</w:t>
            </w:r>
            <w:r>
              <w:rPr>
                <w:color w:val="000000"/>
              </w:rPr>
              <w:t> </w:t>
            </w:r>
          </w:p>
        </w:tc>
        <w:tc>
          <w:tcPr>
            <w:tcW w:w="4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5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5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1,625,235</w:t>
            </w:r>
            <w:r>
              <w:rPr>
                <w:color w:val="000000"/>
              </w:rPr>
              <w:t> </w:t>
            </w:r>
          </w:p>
        </w:tc>
        <w:tc>
          <w:tcPr>
            <w:tcW w:w="6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Public Warrants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equity-classified public warrants expire on October 2, 2029 or earlier upon redemption or liquidation and are exercisable for $11.50 per share.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Private Placement Warrants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liability-classified private placement warrants are measured at fair value based on the price of the public warrants (Level 2 fair value measurement). The private placement warrants will expire on October 2, 2029 or earlier upon redemption or liquidation and are exercisable for $11.50 per share. The fair value of the private placement warrants was $9.9 million and $11.1 million as of June 30, 2026 and December 31, 2025, respectively, and is included in the warrant liability in the condensed consolidated balance sheets. The Company recognized gains of $1.7 million and $1.2 million for the three and six months ended June 30, 2026, respectively, in Change in fair value of financial liabilities on the condensed consolidated statements of operations and comprehensive income (loss). The change in fair value of the private placement warrants for the three and six months ended June 30, 2025, resulted in gains of $3.5 million and $9.6 million, respectively.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WTI Warrants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October 22, 2024, in connection with the WTI Facility, the Company issued warrants (the "2024 WTI Warrants") to the WTI Holders. The 2024 WTI Warrants are considered freestanding financial instruments. The fair value of the 2024 WTI Warrants was $15.5 million and $13.1 million as of June 30, 2026 and December 31, 2025, respectively, and is recorded as a warrant liability on the condensed consolidated balance sheets. The Company recognized losses of $2.5 million and $2.4 million for the three and six months ended June 30, 2026, respectively, in Change in fair value of financial liabilities on the condensed consolidated statements of operations and comprehensive income (loss). The change in fair value of the 2024 WTI warrants for the three and six months ended June 30, 2025, resulted in gains of $0.9 million and $4.8 million, respectively. The 2024 WTI Warrants expire on March 31, 2035. See Note 4. Fair Value for details on the valuation.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Each of the 2024 WTI Warrants is exercisable into one share of Common Stock. The number of shares of Common Stock deliverable under the 2024 WTI Warrants is not fixed; it is determined by dividing an aggregate coverage amount of $10.0 million by an exercise price that functions as a divisor rather than as the cash price payable per share. As further discussed in our annual financial statements, that exercise price was initially $10.00 per share; however, if the volume-weighted average price (“VWAP”) of the Common Stock over the five trading days preceding April 3, 2026, was less than $10.00 per share, then the exercise price would be reduced to such lower VWAP. As of April 3, 2026, the date which is the 18 months after the Company’s Common Stock began trading, the VWAP was $4.01. As such, the exercise price of the 2024 WTI Warrants was reduced from $10.00 to $4.01, and the aggregate number of shares of Common Stock deliverable upon exercise of the 2024 WTI Warrants increased from 1,000,000 to 2,493,765.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April 14, 2025, the Company issued the 2025 WTI Warrants to purchase up to $3 million of shares of Common Stock, as of the date of issuance and June 30, 2026 (subject to future adjustments to the number and type of shares pursuant to the 2025 WTI Warrants), to the WTI Holders. Each of the 2025 WTI Warrants is exercisable through March 31, 2035, with additional customary rights and protections. The 2025 WTI Warrants were issued to the WTI Holders in conjunction with the first issuance of the Convertible Debentures. The 2025 WTI Warrants serve as consideration for certain provisions under the Consent. The exercise price is initially equal to the VWAP over the 30 trading days ending on the trading day immediately preceding April 14, 2025; however, as of October 14, 2026, if the VWAP over the five trading days preceding October 14, 2026 is lower, the exercise price will be reduced to that lower VWAP. The fair value of the 2025 WTI Warrants was $3.2 million as of June 30, 2026 and December 31, 2025, and is recorded as a warrant liability on the condensed consolidated balance sheets. The Company recognized losses of $0.1 million and an immaterial amount for the three and six months ended June 30, 2026, respectively, in the change in fair value of financial liabilities on the condensed consolidated statements of operations and comprehensive income (loss). The change in fair value of the 2025 WTI warrants for the three and six months ended June 30, 2025 resulted in a loss of $0.3 million. The 2025 WTI Warrants expire on March 31, 2035. See Note 4. Fair Value for details on the valuation.</w:t>
      </w:r>
    </w:p>
    <w:p>
      <w:pPr>
        <w:pStyle w:val="TextBody"/>
        <w:bidi w:val="0"/>
        <w:spacing w:lineRule="auto" w:line="283" w:before="120" w:after="120"/>
        <w:jc w:val="both"/>
        <w:rPr>
          <w:rFonts w:ascii="Times New Roman;serif" w:hAnsi="Times New Roman;serif"/>
          <w:b/>
          <w:i/>
          <w:color w:val="000000"/>
          <w:sz w:val="20"/>
        </w:rPr>
      </w:pPr>
      <w:r>
        <w:rPr>
          <w:rFonts w:ascii="Times New Roman;serif" w:hAnsi="Times New Roman;serif"/>
          <w:b/>
          <w:i/>
          <w:color w:val="000000"/>
          <w:sz w:val="20"/>
        </w:rPr>
        <w:t>Series A Warrants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October 3, 2025, the Company issued in a private placement Series A Warrants to purchase an aggregate of 1,625,235 shares of Common Stock. The Series A Warrants have an exercise price of $8.00 per share, became exercisable on April 6, 2026, and will expire on October 3, 2030. The Series A Warrants are equity-classified and recorded as a component of additional paid-in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11. Stockholders' Equity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Series B Preferred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3,000,000 shares of the authorized preferred stock are designated as Series B preferred stock, $0.0001 par value per share (“Series B Preferred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Series B Preferred Stock is entitled to an 8% annual rate dividend. On January 16, 2026, the Company distributed 2,648 shares of Series B Preferred Stock to represent cumulative dividends for Series B Preferred Stock, covering the year ended December 31, 2025, as a payment in kind at the specified rate. During the six months ended June 30, 2026, the holders of Series B Preferred Stock converted 11,013 shares of Series B Preferred Stock to 16,524 shares of Common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had a total of 24,779 shares of Series B Preferred Stock issued and outstanding as of June 30, 2026. As of June 30, 2026, the Company accrued an immaterial amount for the 8% dividend in accrued expenses on the condensed consolidated balance sheets.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Series C Preferred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5,000,000 shares of the authorized preferred stock are designated as Series C preferred stock, $0.0001 par value per share (the “Series C Preferred Stock”).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Series C Preferred Stock is entitled to an 8% annual rate dividend. On January 16, 2026, the Company distributed 9,270 shares of Series C Preferred Stock to represent cumulative dividends for Series C Preferred Stock, covering the year ended December 31, 2025, as payment in kind at the specified rate. During the six months ended June 30, 2026, the holders of Series C Preferred Stock made no conversions of Series C Preferred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Series C Preferred Stock is subject to similar terms and conditions as the Series B Preferred Stock. The Company had a total of 159,270 shares of Series C Preferred Stock issued and outstanding as of June 30, 2026. As of June 30, 2026, the Company accrued $0.1 million for the 8% dividend in accrued expenses on the condensed consolidated balance sheets.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March 20, 2025, in connection with the issuance of Series C Preferred Stock, the Company extinguished the outstanding amount of related party notes totaling $14.0 million. The Company recognized a loss of $3.5 million in Loss on extinguishment of related party debt on the condensed consolidated statements of operations and comprehensive income (loss) for the six months ended June 30, 2025.</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Standby Equity Purchase Agreement (“SEPA”)</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October 2023, we entered into the SEPA with Yorkville. Pursuant to the SEPA, the Company shall have the right, but not the obligation, to sell to Yorkville up to $75.0 million of Common Stock at the Company’s request any time during the commitment period commencing on October 2, 2024, and continuing for a term of 3 years. The SEPA will automatically terminate on the earlier to occur of (i) November 01, 2027 and (ii) the date on which Yorkville shall have made payment of advances pursuant to the SEPA for Common Stock equal to the commitment amount of $75.0 million. The Company’s ability to access the SEPA is subject to certain conditions and limitations described therein.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the Company sold 2,164,552 and 73,993 shares of Common Stock under the SEPA, respectively, raising $13.3 million and $0.9 million in cash proceeds, respectively, which is classified within Issuance of common shares, net of issuance costs in the condensed consolidated statements of changes in mezzanine and stockholders' equity. As of June 30, 2026, the maximum remaining availability under the SEPA is approximately $53.9 million.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Registered Issuances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January 12, 2026, the Company entered into securities purchase agreements with four institutional investors for the purchase and sale of 11,428,572 shares of Common Stock for gross proceeds of approximately $40.0 million, before deducting placement agent fees and offering expenses.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12. Stock-based Compensation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2024 Equity and Incentive Compensation Plan</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granted 2,189,295 restricted stock units (“RSUs”) to Company employees, directors and contractors as part of the 2024 Equity and Incentive Compensation Plan. The RSUs had a grant date fair value of $11.6 million based on a weighted average fair value per unit of $5.30. The fair value of RSUs is determined based on the closing market price of the Company’s Common Stock at the date of the grant.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recognized compensation costs related to RSUs of $2.2 million and $3.8 million for the three and six months ended June 30, 2026, respectively, and $7.0 million and $10.9 million for the three and six months ended June 30, 2025, respectively, in the condensed consolidated statements of operations and comprehensive income (loss). As of June 30, 2026, the Company had $12.6 million in stock-based compensation expense related to RSUs remaining to be recognized over approximately 1.9 years.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April 2, 2026, the Company issued 614,865 stock options to Company employees. The stock options were granted with an exercise price of $6.00. Using the Black-Scholes option pricing model, the estimated grant date fair value of the stock options was $2.36 per option based on an expected volatility of 60%, an expected option term of approximately 5.5 years and risk-free rate of return of 3.93%. The stock options have a maximum contractual life of 10 years from the grant date.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recognized compensation costs related to stock options of $0.5 million and $0.9 million for the three and six months ended June 30, 2026 and $1.5 million and $2.5 million for the three and six months ended June 30, 2025, respectively, in the condensed consolidated statements of operations and comprehensive income (loss). As of June 30, 2026, the Company had $2.7 million in compensation expense related to stock options remaining to be recognized over approximately 1.9 years.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Stock Appreciation Rights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2024, the Company issued 30,000 cash-settled stock appreciation rights (“SARs”) which were recognized at their fair value as of the date of the grant. These SARs entitle participants to cash equal to the value of the appreciation in Accelsius’ stock price over the base price established of $12.175. These cash-settled SARs are liability classified and are revalued at each reporting period. The SARs were valued as of June 30, 2026 using the Black-Scholes option-pricing model based on an expected volatility of 70%, an expected term of approximately 1.0 year, and risk-free rate of return of 3%. The Company recognized an immaterial decrease in compensation expense for the three and six months ended June 30, 2026 in relation to the change in fair value of the cash-settled SARs. For the three and six months ended June 30, 2025, the Company recognized decreases in compensation expense of $0.2 million and $0.7 million, respectively, in relation to the change in fair value of the cash-settled SARs.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Subsidiary Equity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May 8, 2026, the Company granted 252,580 Class C units under the Accelsius Subsidiary Equity Plan, with a grant date fair value of $9.00 per share. The Company recognized unit-based compensation costs of $3.0 million and $5.7 million for the three and six months ended June 30, 2026, respectively, and $0.9 million and $1.8 million for the three and six months ended June 30, 2025, respectively, in the condensed consolidated statements of operations and comprehensive income (loss). As of June 30, 2026, the Company had $16.3 million in unit-based compensation expense remaining to be recognized over approximately 1.6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13. Income Taxes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income tax benefits of $1.5 million and $4.6 million, during the three and six months ended June 30, 2026, respectively. During the three and six months ended June 30, 2025, the Company recognized an income tax benefit of $2.2 million and $3.6 million respectively.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interim tax reporting, the Company estimated one single effective tax rate for tax jurisdictions not subject to a valuation allowance, which is applied to the year-to-date pre-tax book loss. Tax effects of significant unusual or infrequently occurring items are excluded from the estimated annual effective tax rate calculation and recognized in the interim period in which they occur. The effective tax rate was a benefit of 6.78% for the six months ended June 30, 2026, driven primarily by an increase in the valuation allowance as a result of pre-tax book loss activity. </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phased in over time. The Company has evaluated the impact of OBBBA on its financial statements and does not expect the legislation to result in a material change to its quarterly effective tax rate.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14. Net Loss Per Share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follows the two-class method when computing net loss per common share when shares are issued that meet the definition of participating securities. The two-class method requires income available to common stockholders for the period to be allocated between common shares and participating securities based upon their respective rights to receive dividends as if all income for the period had been distributed. The two-class method also requires losses for the period to be allocated between common shares and participating securities based on their respective rights if the participating security contractually participates in losses. As holders of Series B Preferred Stock, Series C Preferred Stock, 2024 WTI Warrants and 2025 WTI Warrants, which are determined to be participating securities, do not have a contractual obligation to fund losses, undistributed net losses are not allocated to them for purposes of the loss per share calculation.</w:t>
      </w:r>
    </w:p>
    <w:p>
      <w:pPr>
        <w:pStyle w:val="TextBody"/>
        <w:bidi w:val="0"/>
        <w:spacing w:lineRule="auto" w:line="288" w:before="120" w:after="120"/>
        <w:jc w:val="both"/>
        <w:rPr/>
      </w:pPr>
      <w:r>
        <w:rPr>
          <w:rFonts w:ascii="Times New Roman;serif" w:hAnsi="Times New Roman;serif"/>
          <w:b w:val="false"/>
          <w:color w:val="000000"/>
          <w:sz w:val="20"/>
        </w:rPr>
        <w:t>Presented in the table below is a reconciliation of the numerator and denominator for the earnings per share calculations (</w:t>
      </w:r>
      <w:r>
        <w:rPr>
          <w:rFonts w:ascii="Times New Roman;serif" w:hAnsi="Times New Roman;serif"/>
          <w:b w:val="false"/>
          <w:i/>
          <w:color w:val="000000"/>
          <w:sz w:val="20"/>
        </w:rPr>
        <w:t>in thousands, except per share amounts</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572"/>
        <w:gridCol w:w="1179"/>
        <w:gridCol w:w="1186"/>
        <w:gridCol w:w="241"/>
        <w:gridCol w:w="875"/>
        <w:gridCol w:w="116"/>
        <w:gridCol w:w="109"/>
        <w:gridCol w:w="109"/>
        <w:gridCol w:w="109"/>
        <w:gridCol w:w="241"/>
        <w:gridCol w:w="875"/>
        <w:gridCol w:w="116"/>
        <w:gridCol w:w="109"/>
        <w:gridCol w:w="109"/>
        <w:gridCol w:w="109"/>
        <w:gridCol w:w="241"/>
        <w:gridCol w:w="875"/>
        <w:gridCol w:w="116"/>
        <w:gridCol w:w="109"/>
        <w:gridCol w:w="109"/>
        <w:gridCol w:w="109"/>
        <w:gridCol w:w="211"/>
        <w:gridCol w:w="885"/>
        <w:gridCol w:w="495"/>
      </w:tblGrid>
      <w:tr>
        <w:trPr/>
        <w:tc>
          <w:tcPr>
            <w:tcW w:w="157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left w:val="single" w:sz="8" w:space="0" w:color="DBDBDB"/>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left w:val="single" w:sz="8" w:space="0" w:color="DBDBD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left w:val="single" w:sz="8" w:space="0" w:color="DBDBDB"/>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left w:val="single" w:sz="8" w:space="0" w:color="DBDBD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left w:val="single" w:sz="8" w:space="0" w:color="DBDBDB"/>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left w:val="single" w:sz="8" w:space="0" w:color="DBDBD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left w:val="single" w:sz="8" w:space="0" w:color="DBDBDB"/>
              <w:right w:val="single" w:sz="8" w:space="0" w:color="DBDBDB"/>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Innventure, Inc., stockholders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(84,227)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(47,308)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(227,224)</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Less: Cumulative earnings to participating securities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Undistributed loss for participating securities </w:t>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(26,538)</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(84,264)</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(47,381)</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(227,266)</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Less: Undistributed loss attributable to participating securities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attributable to common stockholders, basic and diluted</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(26,538)</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(84,264)</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(47,381)</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(227,266)</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 basic and diluted</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83,117,031 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52,546,491 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80,504,971 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49,417,092 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Net loss per share attributable to common stockholders, basic and diluted </w:t>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(0.32)</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(1.60)</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(0.59)</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(4.60)</w:t>
            </w:r>
          </w:p>
        </w:tc>
        <w:tc>
          <w:tcPr>
            <w:tcW w:w="4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Basic and diluted net loss per share was the same for each period presented as the inclusion of all potential Common Stock outstanding would have been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potential Common Stock outstanding that was excluded from the computation of diluted net loss per share of Common Stock for the periods presented because including them would have been antidilutive:</w:t>
      </w:r>
    </w:p>
    <w:tbl>
      <w:tblPr>
        <w:tblW w:w="10205" w:type="dxa"/>
        <w:jc w:val="left"/>
        <w:tblInd w:w="0" w:type="dxa"/>
        <w:tblLayout w:type="fixed"/>
        <w:tblCellMar>
          <w:top w:w="28" w:type="dxa"/>
          <w:left w:w="28" w:type="dxa"/>
          <w:bottom w:w="28" w:type="dxa"/>
          <w:right w:w="28" w:type="dxa"/>
        </w:tblCellMar>
      </w:tblPr>
      <w:tblGrid>
        <w:gridCol w:w="857"/>
        <w:gridCol w:w="568"/>
        <w:gridCol w:w="572"/>
        <w:gridCol w:w="691"/>
        <w:gridCol w:w="645"/>
        <w:gridCol w:w="303"/>
        <w:gridCol w:w="187"/>
        <w:gridCol w:w="187"/>
        <w:gridCol w:w="187"/>
        <w:gridCol w:w="691"/>
        <w:gridCol w:w="645"/>
        <w:gridCol w:w="303"/>
        <w:gridCol w:w="134"/>
        <w:gridCol w:w="134"/>
        <w:gridCol w:w="134"/>
        <w:gridCol w:w="668"/>
        <w:gridCol w:w="669"/>
        <w:gridCol w:w="336"/>
        <w:gridCol w:w="171"/>
        <w:gridCol w:w="171"/>
        <w:gridCol w:w="171"/>
        <w:gridCol w:w="668"/>
        <w:gridCol w:w="669"/>
        <w:gridCol w:w="444"/>
      </w:tblGrid>
      <w:tr>
        <w:trPr/>
        <w:tc>
          <w:tcPr>
            <w:tcW w:w="85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left w:val="single" w:sz="8" w:space="0" w:color="DBDBDB"/>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561" w:type="dxa"/>
            <w:gridSpan w:val="3"/>
            <w:tcBorders>
              <w:top w:val="single" w:sz="8" w:space="0" w:color="000000"/>
              <w:left w:val="single" w:sz="8" w:space="0" w:color="DBDBD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left w:val="single" w:sz="8" w:space="0" w:color="DBDBDB"/>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402" w:type="dxa"/>
            <w:gridSpan w:val="3"/>
            <w:tcBorders>
              <w:left w:val="single" w:sz="8" w:space="0" w:color="DBDBD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left w:val="single" w:sz="8" w:space="0" w:color="DBDBDB"/>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513" w:type="dxa"/>
            <w:gridSpan w:val="3"/>
            <w:tcBorders>
              <w:top w:val="single" w:sz="8" w:space="0" w:color="000000"/>
              <w:left w:val="single" w:sz="8" w:space="0" w:color="DBDBD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8" w:space="0" w:color="000000"/>
              <w:left w:val="single" w:sz="8" w:space="0" w:color="DBDBDB"/>
              <w:right w:val="single" w:sz="8" w:space="0" w:color="DBDBDB"/>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11,240,688 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11,240,688 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11,240,688 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11,240,688 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7,146,000 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7,146,000 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7,146,000 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7,146,000 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2024 WTI Warrants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2,493,765 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2,493,765 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Debentures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2,817,200 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2,817,200 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WTI Warrants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495,074 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495,074 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495,074 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495,074 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Warrants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1,625,235 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1,625,235 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B Preferred Stock</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49,558 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49,558 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26,516 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C Preferred Stock</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318,540 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189,000 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318,540 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194,062 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options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1,635,192 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1,596,702 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1,635,192 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1,596,702 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2,097,321 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2,148,001 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2,097,321 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2,148,001 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SARs</w:t>
            </w:r>
            <w:r>
              <w:rPr>
                <w:rFonts w:ascii="Times New Roman;serif" w:hAnsi="Times New Roman;serif"/>
                <w:b w:val="false"/>
                <w:color w:val="000000"/>
                <w:sz w:val="13"/>
              </w:rPr>
              <w:t>(1)</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4,000,000 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0"/>
              </w:rPr>
              <w:t>(1)</w:t>
            </w:r>
            <w:r>
              <w:rPr>
                <w:rFonts w:ascii="Times New Roman;serif" w:hAnsi="Times New Roman;serif"/>
                <w:b w:val="false"/>
                <w:color w:val="000000"/>
                <w:sz w:val="16"/>
              </w:rPr>
              <w:t xml:space="preserve">As of June 25, 2025, each of the Company’s share-settled SAR agreements was amended to limit payments made in the form of Common Stock to a maximum number of shares specified for the applicable holder, which total 4,000,000 in the aggregate.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15. Related Party Transactions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Transactions with the ESG Fund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more fully described in Note 2. Accounting Policies in our Form 10-K, the Company earns a 1%-2% management fee for administrative, finance and accounting, and other back-office functions from the ESG Fund. Management fees earned from the ESG Fund were $0.2 million and $0.4 million for the three and six months ended June 30, 2025, respectively, which is recorded as Revenue in the condensed consolidated statements of operations and comprehensive income (loss). There were no management fees from the ESG Fund for the three and six months ended June 30, 2026.</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Transactions with AeroFlexx</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had $16.3 million and $10.5 million, respectively, of additional advances to AeroFlexx which is included in Due from related parties in the condensed consolidated balance sheets. The advances have no stated interest or maturity date but are expected to be repaid within a year.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March 24, 2025, the Company issued 578,294 shares of Series C Preferred Stock to settle AeroFlexx’s debt with a related party. The Company considers the stock issuance to be an investment in AeroFlexx of $5.8 million which was recorded in Investments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16. Commitments and Contingencies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PCT Guaranty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April 22, 2020, the Company entered into a guaranty with a counterparty to unconditionally guarantee PureCycle Technologies, Inc.’s (“PCT”) obligation to reimburse a $5.0 million prepayment upon PCT’s failure to meet certain performance thresholds. Performance thresholds include the commission and construction of a plant. The guaranty has no expiration. There were no amounts paid by the Company for both the guaranty and interest. As of June 30, 2026 and December 31, 2025, there was no principal outstanding under the guaranty.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Patent Agreement Contingent Fees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2022, the Company entered into two agreements with an MNC to purchase in-process research and development consisting of patents, technology, and knowledge transfer related to cooling technology for critical electronic equipment in a transaction that was determined to be an asset acquisition.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June 30, 2025, Accelsius entered into an amended and restated agreement with the MNC. The amended agreement modifies several terms and notably (a) eliminates revenue-based royalty payments, (b) extends the due dates for fixed installment payments, (c) modifies and reduces the buy-out fee payable to the MNC in lieu of future installment payments upon certain events such as an assignment of the agreement or a capital event (including a change of control or initial public offering), at the option of either the MNC or Accelsius, and (d) eliminates Accelsius’s ability to unilaterally terminate the agreement upon the occurrence of certain events (other than a material breach) and provides the MNC with certain limited information rights related to the equity ownership of Accelsius.</w:t>
      </w:r>
    </w:p>
    <w:p>
      <w:pPr>
        <w:pStyle w:val="TextBody"/>
        <w:bidi w:val="0"/>
        <w:spacing w:lineRule="auto" w:line="288" w:before="120" w:after="120"/>
        <w:jc w:val="both"/>
        <w:rPr/>
      </w:pPr>
      <w:r>
        <w:rPr>
          <w:rFonts w:ascii="Times New Roman;serif" w:hAnsi="Times New Roman;serif"/>
          <w:b w:val="false"/>
          <w:color w:val="000000"/>
          <w:sz w:val="20"/>
        </w:rPr>
        <w:t>Under the terms of the agreements, the Company is required to make fixed installment payments, as disclosed below, for each year of the agreement through December 31, 2040 (</w:t>
      </w:r>
      <w:r>
        <w:rPr>
          <w:rFonts w:ascii="Times New Roman;serif" w:hAnsi="Times New Roman;serif"/>
          <w:b w:val="false"/>
          <w:i/>
          <w:color w:val="000000"/>
          <w:sz w:val="20"/>
        </w:rPr>
        <w:t>in thousands</w:t>
      </w:r>
      <w:r>
        <w:rPr>
          <w:rFonts w:ascii="Times New Roman;serif" w:hAnsi="Times New Roman;serif"/>
          <w:b w:val="false"/>
          <w:color w:val="000000"/>
          <w:sz w:val="20"/>
        </w:rPr>
        <w:t xml:space="preserve">). </w:t>
      </w:r>
    </w:p>
    <w:tbl>
      <w:tblPr>
        <w:tblW w:w="3560" w:type="dxa"/>
        <w:jc w:val="left"/>
        <w:tblInd w:w="0" w:type="dxa"/>
        <w:tblLayout w:type="fixed"/>
        <w:tblCellMar>
          <w:top w:w="28" w:type="dxa"/>
          <w:left w:w="28" w:type="dxa"/>
          <w:bottom w:w="28" w:type="dxa"/>
          <w:right w:w="28" w:type="dxa"/>
        </w:tblCellMar>
      </w:tblPr>
      <w:tblGrid>
        <w:gridCol w:w="890"/>
        <w:gridCol w:w="782"/>
        <w:gridCol w:w="787"/>
        <w:gridCol w:w="211"/>
        <w:gridCol w:w="736"/>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six months)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12,375</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License and Royalty Commitments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12, 2024, the Company entered into a license agreement with a third party to obtain exclusive rights to use certain know-how, patents, and data relating to processes for the gasification of plastic waste (the “Gasification Technology”). Ownership of the Gasification Technology will transfer to the Company for a fee of $0.5 million contingent upon achievement of a commercial milestone, which is not yet probable.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is committed to pay annual royalties based on Refinity-related gross sales and licensing revenue starting in 2025. For the three and six months ended June 30, 2026 and 2025, no royalty payments were made to the third party.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Framework Agreement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January 22, 2025, Refinity entered into the Framework Agreement (“Framework Agreement”) with a third party to obtain research services focusing on the further development and optimization of the Gasification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Refinity agreed to pay a minimum fee of €2.0 million for the period beginning January 22, 2025 and ending April 30, 2026 (“Year 1”), and €3.0 million for the period beginning May 1, 2026 and ending April 30, 2027 (“Year 2”); provided that, if the third party is unable to provide all of the services contemplated to be provided during Year 1 due to its resource constraints, any unused portion of the minimum fee for Year 1 will be deferred to Year 2 and added to the Year 2 minimum fee. Expenses for services from contracts under the Framework Agreement are recognized as incurred and are applied to the minimum fee. Refinity incurred €0.2 million and €0.7 million of service expenses toward the Year 1 minimum fee for the three and six months ended June 30, 2026, respectively, and €0.3 million for the three and six months ended June 30, 2025. After currency conversion, Refinity incurred $0.2 million and $0.8 million toward the Year 1 minimum fee during the three and six months ended June 30, 2026, respectively, and $0.4 million for the three and six months ended June 30, 2025. Additionally, during the three and six months ended June 30, 2026, Refinity made payments of $0.2 million and $0.9 million on costs incurred as a part of the Year 1 minimum fee. Refinity made payments of $0.6 million toward the Year 1 minimum fee for both the three and six months ended June 30, 2025. As of June 30, 2026, there was no unused portion of the minimum fee for Year 1, as the Company met the full commitment.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Refinity incurred €0.5 million of service expenses toward the Year 2 minimum fee for the three and six months ended June 30, 2026. After currency conversion, Refinity incurred $0.6 million toward the Year 2 minimum fee during the three and six months ended June 30, 2026. Refinity made payments of $1.0 million for the three and six months ended June 30, 2026.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ACT Lawsuit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May 12, 2023, Advanced Cooling Technologies, Inc. (“ACT”) filed a complaint, which has been subsequently amended twice, against Accelsius in the Court of Common Pleas of Lancaster County, Pennsylvania, alleging claims against Accelsius and an Accelsius employee who was previously an employee of ACT. The claims include violations of the employee’s non-competition and confidentiality obligations, misappropriation and theft of ACT’s trade secrets, unfair competition and tortious interference. The complaint seeks injunctive relief and monetary damages.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disputes the allegations asserted in the complaint and is defending them vigorously, having defeated an early motion for preliminary injunction. Discovery is substantially complete. Accelsius is unable to predict the outcome of this matter or reasonably estimate the possible loss or range of loss, if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17. Business Segment Data</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The Company’s Chief Executive Officer is the Chief Operating Decision Maker (“CODM”) of the Company. The CODM makes operating decisions, allocates resources and assesses performance based on review of historical and potential future product sales, operating expenses, and net income (loss).</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information utilized by the CODM to operate the Company, there is one operating segment and reportable segment, Technology. The Technology segment includes the business activities of Accelsius, a consolidated subsidiary focused on development and manufacture of data center cooling products. Other components of the Company’s consolidated information primarily include operations relating to the original platform business, service activities, Refinity, and equity method investment activities (“Other”). </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information about the Company’s Technology segment. The information includes the significant expense categories and amounts regularly provided to the CODM for the reportable segment, which may reflect a different presentation than amounts presented elsewhere in the condensed consolidated financial statements. Inter-segment transactions are not eliminated from segment results when management considers those transactions in assessing the results of the Technology segment. </w:t>
      </w:r>
    </w:p>
    <w:tbl>
      <w:tblPr>
        <w:tblW w:w="8915" w:type="dxa"/>
        <w:jc w:val="left"/>
        <w:tblInd w:w="0" w:type="dxa"/>
        <w:tblLayout w:type="fixed"/>
        <w:tblCellMar>
          <w:top w:w="28" w:type="dxa"/>
          <w:left w:w="28" w:type="dxa"/>
          <w:bottom w:w="28" w:type="dxa"/>
          <w:right w:w="28" w:type="dxa"/>
        </w:tblCellMar>
      </w:tblPr>
      <w:tblGrid>
        <w:gridCol w:w="1008"/>
        <w:gridCol w:w="890"/>
        <w:gridCol w:w="892"/>
        <w:gridCol w:w="241"/>
        <w:gridCol w:w="910"/>
        <w:gridCol w:w="124"/>
        <w:gridCol w:w="109"/>
        <w:gridCol w:w="109"/>
        <w:gridCol w:w="109"/>
        <w:gridCol w:w="220"/>
        <w:gridCol w:w="941"/>
        <w:gridCol w:w="113"/>
        <w:gridCol w:w="109"/>
        <w:gridCol w:w="109"/>
        <w:gridCol w:w="109"/>
        <w:gridCol w:w="241"/>
        <w:gridCol w:w="910"/>
        <w:gridCol w:w="124"/>
        <w:gridCol w:w="109"/>
        <w:gridCol w:w="109"/>
        <w:gridCol w:w="109"/>
        <w:gridCol w:w="220"/>
        <w:gridCol w:w="940"/>
        <w:gridCol w:w="160"/>
      </w:tblGrid>
      <w:tr>
        <w:trPr/>
        <w:tc>
          <w:tcPr>
            <w:tcW w:w="100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5"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Employee costs </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Facilities, equipment &amp; supplies </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Outside services </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113,344 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346,557 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18,551</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122,761</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32,939</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367,075</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(17,371)</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(122,507)</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(30,089)</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(366,816)</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both"/>
        <w:rPr>
          <w:rFonts w:ascii="Times New Roman;serif" w:hAnsi="Times New Roman;serif"/>
          <w:b w:val="false"/>
          <w:color w:val="000000"/>
          <w:sz w:val="16"/>
        </w:rPr>
      </w:pPr>
      <w:r>
        <w:rPr>
          <w:rFonts w:ascii="Times New Roman;serif" w:hAnsi="Times New Roman;serif"/>
          <w:b w:val="false"/>
          <w:color w:val="000000"/>
          <w:sz w:val="16"/>
        </w:rPr>
        <w:t xml:space="preserve">* Represents depreciation expense not already included in Cost of sales. </w:t>
      </w:r>
    </w:p>
    <w:p>
      <w:pPr>
        <w:pStyle w:val="TextBody"/>
        <w:bidi w:val="0"/>
        <w:spacing w:lineRule="auto" w:line="288" w:before="120" w:after="180"/>
        <w:jc w:val="both"/>
        <w:rPr>
          <w:rFonts w:ascii="Times New Roman;serif" w:hAnsi="Times New Roman;serif"/>
          <w:b w:val="false"/>
          <w:color w:val="000000"/>
          <w:sz w:val="16"/>
        </w:rPr>
      </w:pPr>
      <w:r>
        <w:rPr>
          <w:rFonts w:ascii="Times New Roman;serif" w:hAnsi="Times New Roman;serif"/>
          <w:b w:val="false"/>
          <w:color w:val="000000"/>
          <w:sz w:val="16"/>
        </w:rPr>
        <w:t>** Other - travel and other miscellaneous expenses.</w:t>
      </w:r>
    </w:p>
    <w:p>
      <w:pPr>
        <w:pStyle w:val="TextBody"/>
        <w:bidi w:val="0"/>
        <w:spacing w:before="12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120"/>
        <w:jc w:val="left"/>
        <w:rPr/>
      </w:pPr>
      <w:hyperlink w:anchor="id49de3c777bc4f2f9b9f64eb98439a3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80"/>
        <w:jc w:val="center"/>
        <w:rPr/>
      </w:pPr>
      <w:r>
        <w:rPr/>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the reportable segment to amounts reflected in our condensed consolidated financial statements. </w:t>
      </w:r>
    </w:p>
    <w:tbl>
      <w:tblPr>
        <w:tblW w:w="10205" w:type="dxa"/>
        <w:jc w:val="left"/>
        <w:tblInd w:w="0" w:type="dxa"/>
        <w:tblLayout w:type="fixed"/>
        <w:tblCellMar>
          <w:top w:w="28" w:type="dxa"/>
          <w:left w:w="28" w:type="dxa"/>
          <w:bottom w:w="28" w:type="dxa"/>
          <w:right w:w="28" w:type="dxa"/>
        </w:tblCellMar>
      </w:tblPr>
      <w:tblGrid>
        <w:gridCol w:w="1544"/>
        <w:gridCol w:w="1332"/>
        <w:gridCol w:w="1353"/>
        <w:gridCol w:w="234"/>
        <w:gridCol w:w="870"/>
        <w:gridCol w:w="120"/>
        <w:gridCol w:w="109"/>
        <w:gridCol w:w="109"/>
        <w:gridCol w:w="109"/>
        <w:gridCol w:w="217"/>
        <w:gridCol w:w="918"/>
        <w:gridCol w:w="112"/>
        <w:gridCol w:w="109"/>
        <w:gridCol w:w="109"/>
        <w:gridCol w:w="109"/>
        <w:gridCol w:w="234"/>
        <w:gridCol w:w="870"/>
        <w:gridCol w:w="120"/>
        <w:gridCol w:w="109"/>
        <w:gridCol w:w="109"/>
        <w:gridCol w:w="109"/>
        <w:gridCol w:w="217"/>
        <w:gridCol w:w="917"/>
        <w:gridCol w:w="166"/>
      </w:tblGrid>
      <w:tr>
        <w:trPr/>
        <w:tc>
          <w:tcPr>
            <w:tcW w:w="1544"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422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5976"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management services provided to Technology</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Revenues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953</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476</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2,396</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700</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Expense:</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Intercompany Interest</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Consolidated Interest Expense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1,108</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2,937</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2,581</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4,699</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Income:</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Elimination of Intercompany Interest</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Consolidated Interest Income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577</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1,061</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514</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 Expense:</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Consolidated Depreciation and Amortization Expense</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5,660</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5,634</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11,331</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11,182</w:t>
            </w: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(122,508)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(366,817)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Net Loss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(34,914)</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(141,275)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(62,697)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(394,949)</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Capital Expenditures</w:t>
            </w:r>
          </w:p>
        </w:tc>
        <w:tc>
          <w:tcPr>
            <w:tcW w:w="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w:t>
            </w:r>
            <w:r>
              <w:rPr>
                <w:color w:val="000000"/>
              </w:rPr>
              <w:t> </w:t>
            </w:r>
          </w:p>
        </w:tc>
        <w:tc>
          <w:tcPr>
            <w:tcW w:w="1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1,074</w:t>
            </w:r>
            <w:r>
              <w:rPr>
                <w:color w:val="000000"/>
              </w:rPr>
              <w:t> </w:t>
            </w:r>
          </w:p>
        </w:tc>
        <w:tc>
          <w:tcPr>
            <w:tcW w:w="1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932</w:t>
            </w:r>
            <w:r>
              <w:rPr>
                <w:color w:val="000000"/>
              </w:rPr>
              <w:t> </w:t>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All long-lived assets are located entirely in the United States. Segment assets are not reviewed by the CODM and therefore are not disclosed.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Unless the context otherwise requires, references in this section to “we”, “us” and “our” refer to the business and operations of Innventure, Inc. and its consolidated subsidiaries.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unaudited condensed consolidated financial statements and related notes as of June 30, 2026 and for the three and six months ended June 30, 2026 and 2025 included in Item 1 of this Form 10-Q and our and our predecessor’s, as applicable, audited consolidated financial statements and related notes as of and for the years ended December 31, 2025 and 2024 included in our Annual Report on Form 10-K for the fiscal year ended December 31, 2025 (“Form 10-K”). This discussion contains forward-looking statements that involve risks, uncertainties and assumptions. Our actual results could differ materially from such forward-looking statements. Factors that could cause or contribute to those differences include, but are not limited to, those identified below in this section and those discussed in the sections titled “Risk Factors” and “Cautionary Statement Regarding Forward–Looking Statements” included elsewhere in this Form 10-Q and in the Form 10-K. Additionally, our historical results are not necessarily indicative of the results that may be expected for any period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Innventure is an industrial growth conglomerate that founds, funds, and operates companies with a focus on commercializing transformative, sustainable technology solutions acquired or licensed from technology innovators, which are typically multinational corporations (“MNCs”) with the intent to maximize value for stockholders and other stakeholders through positive cash flow generated through long term ownership and operation of AeroFlexx, LLC (“AeroFlexx”), Accelsius Holdings LLC (“Accelsius”) and Refinity Olefins, LLC (“Refinity” and, together with AeroFlexx, Accelsius, and those subsidiary companies that Innventure may found, fund, and operate going forward, the “Innventure Companies”). Refer to Item 1. “Business” of the Form 10-K for a detailed discussion of our business activities.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Segments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allocation of resources and assessment of financial performance by our Chief Executive Officer (who has been determined to be our Chief Operating Decision Maker), we have identified one reportable segment: Technology. The Company’s remaining operations are not reportable segments and are classified as “Other.” “Other” primarily includes the Company’s remaining operations consisting of Innventure’s original platform business, service activities, Refinity and other equity method investment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Results of Operations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Comparison of the three months ended June 30, 2026 and June 30, 2025: </w:t>
      </w:r>
    </w:p>
    <w:tbl>
      <w:tblPr>
        <w:tblW w:w="10205" w:type="dxa"/>
        <w:jc w:val="left"/>
        <w:tblInd w:w="0" w:type="dxa"/>
        <w:tblLayout w:type="fixed"/>
        <w:tblCellMar>
          <w:top w:w="28" w:type="dxa"/>
          <w:left w:w="28" w:type="dxa"/>
          <w:bottom w:w="28" w:type="dxa"/>
          <w:right w:w="28" w:type="dxa"/>
        </w:tblCellMar>
      </w:tblPr>
      <w:tblGrid>
        <w:gridCol w:w="1424"/>
        <w:gridCol w:w="1199"/>
        <w:gridCol w:w="1214"/>
        <w:gridCol w:w="437"/>
        <w:gridCol w:w="923"/>
        <w:gridCol w:w="238"/>
        <w:gridCol w:w="109"/>
        <w:gridCol w:w="109"/>
        <w:gridCol w:w="109"/>
        <w:gridCol w:w="451"/>
        <w:gridCol w:w="923"/>
        <w:gridCol w:w="238"/>
        <w:gridCol w:w="109"/>
        <w:gridCol w:w="109"/>
        <w:gridCol w:w="109"/>
        <w:gridCol w:w="254"/>
        <w:gridCol w:w="546"/>
        <w:gridCol w:w="109"/>
        <w:gridCol w:w="109"/>
        <w:gridCol w:w="109"/>
        <w:gridCol w:w="109"/>
        <w:gridCol w:w="344"/>
        <w:gridCol w:w="347"/>
        <w:gridCol w:w="577"/>
      </w:tblGrid>
      <w:tr>
        <w:trPr/>
        <w:tc>
          <w:tcPr>
            <w:tcW w:w="142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3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 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2"/>
              </w:rPr>
            </w:pPr>
            <w:r>
              <w:rPr>
                <w:rFonts w:ascii="Times New Roman;serif" w:hAnsi="Times New Roman;serif"/>
                <w:b/>
                <w:color w:val="000000"/>
                <w:sz w:val="12"/>
              </w:rPr>
              <w:t>(in thousands)</w:t>
            </w:r>
          </w:p>
        </w:tc>
      </w:tr>
      <w:tr>
        <w:trPr/>
        <w:tc>
          <w:tcPr>
            <w:tcW w:w="38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100.2 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8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77.3 </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14,499 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18,569 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9,780 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6,068 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113,344 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Operating Expenses</w:t>
            </w:r>
          </w:p>
        </w:tc>
        <w:tc>
          <w:tcPr>
            <w:tcW w:w="13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32,441</w:t>
            </w:r>
            <w:r>
              <w:rPr>
                <w:color w:val="000000"/>
              </w:rPr>
              <w:t>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143,050</w:t>
            </w:r>
            <w:r>
              <w:rPr>
                <w:color w:val="000000"/>
              </w:rPr>
              <w:t>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(110,609)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(77.3)</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3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Loss from Operations</w:t>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(31,488)</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(142,574)</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111,086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(77.9)</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3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Non-operating (Expense) and Income</w:t>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8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(2,647)</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(79.9)</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on investments</w:t>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nil</w:t>
            </w:r>
          </w:p>
        </w:tc>
      </w:tr>
      <w:tr>
        <w:trPr/>
        <w:tc>
          <w:tcPr>
            <w:tcW w:w="383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38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financial liabilities</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(2,188)</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7,176 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(130.5)</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 (loss) income</w:t>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(1,491)</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(1,924)</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(3,462)</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Miscellaneous other expense</w:t>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(773)</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1,107.8 </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Non-operating (Expense) Income</w:t>
            </w:r>
          </w:p>
        </w:tc>
        <w:tc>
          <w:tcPr>
            <w:tcW w:w="13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(4,944)</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(921)</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(4,023)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436.8</w:t>
            </w:r>
            <w:r>
              <w:rPr>
                <w:color w:val="000000"/>
              </w:rPr>
              <w:t> </w:t>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3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(1,518)</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(2,220)</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13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(34,914)</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(141,275)</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106,361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(75.3)</w:t>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3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loss attributable to</w:t>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8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(8,411)</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(57,048)</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(85.3)</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 Attributable to Innventure, Inc. stockholders</w:t>
            </w:r>
          </w:p>
        </w:tc>
        <w:tc>
          <w:tcPr>
            <w:tcW w:w="13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(26,503)</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(84,227)</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57,724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(68.5)</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383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383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383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383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383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383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383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383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383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383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120" w:after="120"/>
        <w:jc w:val="both"/>
        <w:rPr/>
      </w:pPr>
      <w:r>
        <w:rPr>
          <w:rFonts w:ascii="Times New Roman;serif" w:hAnsi="Times New Roman;serif"/>
          <w:b w:val="false"/>
          <w:i/>
          <w:color w:val="000000"/>
          <w:sz w:val="16"/>
        </w:rPr>
        <w:t>*</w:t>
      </w:r>
      <w:r>
        <w:rPr>
          <w:rFonts w:ascii="Times New Roman;serif" w:hAnsi="Times New Roman;serif"/>
          <w:b w:val="false"/>
          <w:i/>
          <w:color w:val="000000"/>
          <w:sz w:val="16"/>
        </w:rPr>
        <w:t>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Revenue was $1.0 million and $0.5 million for the three months ended June 30, 2026 and 2025, respectively, an increase of $0.5 million or 100.2%. The increase was driven by an increase of product sales and service revenue in the Technology segment.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Cost of sales was $5.1 million and $2.9 million for the three months ended June 30, 2026 and 2025, respectively, an increase of $2.2 million or 77.3%. The increase related to an increase in revenue in the Technology segment resulting in an increase in costs related to supplies and materials, amortization of intangible assets, and employee costs.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was $14.5 million and $18.6 million for the three months ended June 30, 2026 and 2025, respectively, a decrease of $4.1 million, or 21.9%. The decrease was due to a decrease in stock-based compensation costs and a decrease in professional and legal fees.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Goodwill impairment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Goodwill impairment expense was $113.3 million for the three months ended June 30, 2025. The prior-year charge was due to sustained decreases in the Company’s publicly quoted share price and market capitalization, which were sensitive to the general downward volatility experienced in the stock market during 2025. There was no goodwill impairment expense during the three months ended June 30, 2026.</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 was $3.1 million and $2.2 million for the three months ended June 30, 2026 and 2025, respectively, an increase of $0.9 million, or 39.9%. The increase was due to increased marketing-related events and expenses primarily associated with the commercialization of the Technology segment, and employee expenses, partially offset by a decrease in marketing related professional fees.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was $9.8 million and $6.1 million for the three months ended June 30, 2026 and 2025, respectively, an increase of $3.7 million, or 61.2%. The increase was due to increased expenses in the development of new technologies related to Refinity.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net was $0.5 million and $2.6 million for the three months ended June 30, 2026 and 2025, respectively, a decrease of $2.1 million, or 79.9%. The decrease was due to a decrease in interest expense on related party notes and interest related to the amortization of issuance costs for the convertible debentures issued pursuant to that certain securities purchase agreement entered into with Yorkville on March 25, 2025 (the “Existing Convertible Debentures”) and the convertible debentures issued pursuant to that certain securities purchase agreement entered into with Yorkville on September 15, 2025 (the “New Convertible Debentures” and, together with the Existing Convertible Debentures, the “Convertible Debentures”), which were either converted to equity or paid off.</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Change in fair value of financial liabilities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change in fair value of financial liabilities was a net loss of $2.2 million for the three months ended June 30, 2026, as compared to a gain of $7.2 million for the three months ended June 30, 2025. Changes in the fair value are due to changes in the fair value of the earnout and warrant liabilities.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Equity method investment (loss) income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Equity method investment activity for the three months ended June 30, 2026 and 2025 were net losses of $1.5 million and $1.9 million, respectively, from the Company’s equity method investment in AeroFlexx.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Loss on extinguishment of debt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Loss on extinguishment of debt was $3.5 million for the three months ended June 30, 2025. The prior-year loss was due to the modification of the term loan facility with WTI Fund X, Inc. and WTI Fund XI, Inc. in the aggregate principal amount of up to $50.0 million (the “WTI Facility”) in connection with the issuance of the first tranche of the Existing Convertible Debentures. There was no loss on extinguishment of debt for the three months ended June 30, 2026.</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pPr>
      <w:r>
        <w:rPr>
          <w:rFonts w:ascii="Times New Roman;serif" w:hAnsi="Times New Roman;serif"/>
          <w:b/>
          <w:i/>
          <w:color w:val="000000"/>
          <w:sz w:val="20"/>
        </w:rPr>
        <w:t xml:space="preserve">Comparison of the </w:t>
      </w:r>
      <w:r>
        <w:rPr>
          <w:rFonts w:ascii="Times New Roman;serif" w:hAnsi="Times New Roman;serif"/>
          <w:b/>
          <w:color w:val="000000"/>
          <w:sz w:val="20"/>
        </w:rPr>
        <w:t>six</w:t>
      </w:r>
      <w:r>
        <w:rPr>
          <w:color w:val="000000"/>
        </w:rPr>
        <w:t xml:space="preserve"> </w:t>
      </w:r>
      <w:r>
        <w:rPr>
          <w:rFonts w:ascii="Times New Roman;serif" w:hAnsi="Times New Roman;serif"/>
          <w:b/>
          <w:i/>
          <w:color w:val="000000"/>
          <w:sz w:val="20"/>
        </w:rPr>
        <w:t xml:space="preserve">months ended June 30, 2026 and 2025: </w:t>
      </w:r>
    </w:p>
    <w:tbl>
      <w:tblPr>
        <w:tblW w:w="10205" w:type="dxa"/>
        <w:jc w:val="left"/>
        <w:tblInd w:w="0" w:type="dxa"/>
        <w:tblLayout w:type="fixed"/>
        <w:tblCellMar>
          <w:top w:w="28" w:type="dxa"/>
          <w:left w:w="28" w:type="dxa"/>
          <w:bottom w:w="28" w:type="dxa"/>
          <w:right w:w="28" w:type="dxa"/>
        </w:tblCellMar>
      </w:tblPr>
      <w:tblGrid>
        <w:gridCol w:w="1547"/>
        <w:gridCol w:w="1255"/>
        <w:gridCol w:w="1267"/>
        <w:gridCol w:w="326"/>
        <w:gridCol w:w="953"/>
        <w:gridCol w:w="168"/>
        <w:gridCol w:w="109"/>
        <w:gridCol w:w="109"/>
        <w:gridCol w:w="109"/>
        <w:gridCol w:w="421"/>
        <w:gridCol w:w="835"/>
        <w:gridCol w:w="194"/>
        <w:gridCol w:w="109"/>
        <w:gridCol w:w="109"/>
        <w:gridCol w:w="109"/>
        <w:gridCol w:w="225"/>
        <w:gridCol w:w="659"/>
        <w:gridCol w:w="109"/>
        <w:gridCol w:w="109"/>
        <w:gridCol w:w="109"/>
        <w:gridCol w:w="109"/>
        <w:gridCol w:w="336"/>
        <w:gridCol w:w="338"/>
        <w:gridCol w:w="591"/>
      </w:tblGrid>
      <w:tr>
        <w:trPr/>
        <w:tc>
          <w:tcPr>
            <w:tcW w:w="154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2"/>
              </w:rPr>
            </w:pPr>
            <w:r>
              <w:rPr>
                <w:rFonts w:ascii="Times New Roman;serif" w:hAnsi="Times New Roman;serif"/>
                <w:b/>
                <w:color w:val="000000"/>
                <w:sz w:val="12"/>
              </w:rPr>
              <w:t>(in thousands)</w:t>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27,249 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38,245 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59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346,557 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59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17,620 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59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2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61,181</w:t>
            </w: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404,472</w:t>
            </w: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(343,291)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(84.9)</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(58,785)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(403,772)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344,987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(85.4)</w:t>
            </w:r>
          </w:p>
        </w:tc>
        <w:tc>
          <w:tcPr>
            <w:tcW w:w="5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Non-operating (Expense) and Income</w:t>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w:t>
            </w:r>
          </w:p>
        </w:tc>
        <w:tc>
          <w:tcPr>
            <w:tcW w:w="59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investments</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9"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financial liabilities</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23,605 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(loss) income</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5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conversion of available for sale investment</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related party debt</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5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9"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other expense</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Non-operating (Expense) Income</w:t>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(8,469)</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5,204</w:t>
            </w:r>
            <w:r>
              <w:rPr>
                <w:color w:val="000000"/>
              </w:rPr>
              <w:t>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(13,673)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(262.7)</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5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(62,697)</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(394,949)</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332,252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(84.1)</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w:t>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(15,389)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(167,725)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w:t>
            </w:r>
          </w:p>
        </w:tc>
        <w:tc>
          <w:tcPr>
            <w:tcW w:w="5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Attributable to Innventure, Inc. stockholders</w:t>
            </w:r>
          </w:p>
        </w:tc>
        <w:tc>
          <w:tcPr>
            <w:tcW w:w="12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(47,308)</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(227,224)</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179,916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(79.2)</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120" w:after="120"/>
        <w:jc w:val="both"/>
        <w:rPr/>
      </w:pPr>
      <w:r>
        <w:rPr>
          <w:rFonts w:ascii="Times New Roman;serif" w:hAnsi="Times New Roman;serif"/>
          <w:b w:val="false"/>
          <w:i/>
          <w:color w:val="000000"/>
          <w:sz w:val="14"/>
        </w:rPr>
        <w:t>*</w:t>
      </w:r>
      <w:r>
        <w:rPr>
          <w:rFonts w:ascii="Times New Roman;serif" w:hAnsi="Times New Roman;serif"/>
          <w:b w:val="false"/>
          <w:i/>
          <w:color w:val="000000"/>
          <w:sz w:val="14"/>
        </w:rPr>
        <w:t>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Revenue was $2.4 million and $0.7 million for the six months ended June 30, 2026 and 2025, respectively, an increase of $1.7 million. The increase was driven by an increase of product sales and service revenue in the Technology segment.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Cost of sales was $10.3 million and $3.0 million for the six months ended June 30, 2026 and 2025, respectively, an increase of $7.3 million. The increase relates to the generation of revenue in the Technology segment resulting in an increase in costs related to supplies and materials, amortization of intangible assets, and employee costs.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was $27.2 million and $38.2 million for the six months ended June 30, 2026 and 2025, respectively, a decrease of $11.0 million or 28.8%. The decrease in expenditures was due to a decrease in stock-based compensation costs and a decrease in professional and legal fees.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Goodwill impairment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Goodwill impairment expense was $346.6 million for the six months ended June 30, 2025. The impairment was due to sustained decreases in the Company’s publicly quoted share price and market capitalization, which were sensitive to the general downward volatility experienced in the stock market during the six months ended June 30, 2025. There was no goodwill impairment charge for the six months ended June 30, 2026.</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 was $6.0 million and $4.3 million for the six months ended June 30, 2026 and 2025, respectively, an increase of $1.7 million, or 39.1%. The increase is due to increased marketing-related events and expenses primarily associated with the commercialization of the Technology segment, and employee expenses, partially offset by a decrease in marketing related professional fees.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was $17.6 million and $12.3 million for the six months ended June 30, 2026 and 2025, respectively, an increase of $5.3 million, or 43.0%. The increase was due to increased expense in the development of new technologies related to Refinity.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net was $1.5 million and $4.2 million for the six months ended June 30, 2026 and 2025, respectively, a decrease of $2.7 million, or 63.7%. The decrease was due to a decrease in interest expense on related party notes that were paid off during the six months ended June 30, 2025, a decrease in interest expense on the unsecured promissory notes issued and sold to investors between 2018 and 2021, which were repaid during the six months ended June 30, 2026, and due to a decrease in interest related to the amortization of issuance costs for the Convertible Debentures, which were either converted to equity or paid off during the six months ended June 30, 2026.</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Change in fair value of financial liabilities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fair value of financial liabilities increased by $2.1 million and decreased by $23.6 million for the six months ended June 30, 2026 and 2025, respectively, a change of $25.7 million. The change was primarily due to an increase in fair value of liabilities for warrants issued and earnout liabilities as compared to prior year, partially offset by a decrease in fair value of the private placement warrants.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Equity method investment (loss) income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Equity method investment loss was $3.0 million and $8.7 million for the six months ended June 30, 2026 and 2025, respectively, a change of $5.7 million, or 65.4%. The change is related to losses from the Company’s equity method investment in AeroFlexx.</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Realized gain on conversion of available for sale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Realized gain on conversion of available for sale investment was $1.5 million for the six months ended June 30, 2025. The gain was due to the partial conversion of the AeroFlexx investment in debt securities resulting in a realized gain. There was no realized gain on conversion of available for sale investment for the six months ended June 30, 2026.</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Loss on extinguishment of debt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Loss on extinguishment of debt was $1.0 million and $3.5 million for the six months ended June 30, 2026 and 2025, respectively. The loss for the six months ended June 30, 2026, is due to a loss incurred as a result of the repayment of the Convertible Debentures. The prior-year loss was due to the modification of the WTI Facility in connection with the issuance of the first tranche of the Convertible Debentures.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Loss on extinguishment of related party debt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Loss on extinguishment of related party debt was $3.5 million for the six months ended June 30, 2025 due to the extinguishment of the related party loans by additional issuances of the Company’s Series C preferred stock, $0.0001 par value per share (“Series C Preferred Stock”). There was no gain or loss on extinguishment of related party debt for the six months ended June 30, 2026.</w:t>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120" w:after="120"/>
        <w:jc w:val="both"/>
        <w:rPr/>
      </w:pPr>
      <w:r>
        <w:rPr/>
      </w:r>
    </w:p>
    <w:p>
      <w:pPr>
        <w:pStyle w:val="TextBody"/>
        <w:bidi w:val="0"/>
        <w:spacing w:before="12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use certain financial measures that are not calculated in accordance with generally accepted accounting principles in the U.S. (“GAAP”) to supplement our condensed consolidated financial statements. These non-GAAP financial measures provide additional information to investors to facilitate comparisons of past and present operating results, identify trends in our underlying operating performance, and offer greater transparency on how we evaluate our business activities. These measures are integral to our processes for budgeting, managing operations, making strategic decisions, and evaluating our performance.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primary non-GAAP financial measures are EBITDA and Adjusted EBITDA. We define EBITDA as net income before interest, income taxes, and depreciation and amortization. Adjusted EBITDA is defined as EBITDA further adjusted to exclude certain non-cash items, non-recurring expenses and other items that are not indicative of our core operating activities. These may include stock-based compensation, acquisition costs and other financial items. We believe Adjusted EBITDA is valuable for investors and analysts as it provides additional insight into our operational performance, excluding the impacts of certain financing, investing, and other non-operational activities. This measure helps in comparing our current operating results with prior periods and with those of other companies in our industry. It is also used internally for allocating resources efficiently, assessing the economic outcomes of acquisitions and strategic decisions, and evaluating the performance of our management team.</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limitations to Adjusted EBITDA, including its exclusion of cash expenditures, future requirements for capital expenditures and contractual commitments, and changes in or cash requirements for working capital needs. Adjusted EBITDA also omits significant interest expenses and related cash requirements for interest and payments. While depreciation and amortization are non-cash charges, the associated assets will often need to be replaced in the future, and Adjusted EBITDA does not reflect the cash required for such replacements. Additionally, Adjusted EBITDA does not account for income or other taxes or necessary cash tax payments.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Investors should use caution when comparing our non-GAAP financial measures to similar metrics used by other companies, as definitions can vary. Adjusted EBITDA should not be considered in isolation or as a substitute for GAAP financial measures. We provide Adjusted EBITDA as supplemental information to enhance the overall understanding of our financial performance.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presenting Adjusted EBITDA, we aim to provide investors with an additional tool for assessing the operational performance of our business. It serves as a useful complement to our GAAP results, offering a more comprehensive understanding of our financial health and operational efficiencies.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from Net Loss to EBITDA and Adjusted EBITDA for the specified periods:</w:t>
      </w:r>
    </w:p>
    <w:tbl>
      <w:tblPr>
        <w:tblW w:w="10040" w:type="dxa"/>
        <w:jc w:val="left"/>
        <w:tblInd w:w="0" w:type="dxa"/>
        <w:tblLayout w:type="fixed"/>
        <w:tblCellMar>
          <w:top w:w="28" w:type="dxa"/>
          <w:left w:w="28" w:type="dxa"/>
          <w:bottom w:w="28" w:type="dxa"/>
          <w:right w:w="28" w:type="dxa"/>
        </w:tblCellMar>
      </w:tblPr>
      <w:tblGrid>
        <w:gridCol w:w="1417"/>
        <w:gridCol w:w="1237"/>
        <w:gridCol w:w="1261"/>
        <w:gridCol w:w="241"/>
        <w:gridCol w:w="910"/>
        <w:gridCol w:w="124"/>
        <w:gridCol w:w="109"/>
        <w:gridCol w:w="109"/>
        <w:gridCol w:w="109"/>
        <w:gridCol w:w="220"/>
        <w:gridCol w:w="941"/>
        <w:gridCol w:w="113"/>
        <w:gridCol w:w="109"/>
        <w:gridCol w:w="109"/>
        <w:gridCol w:w="109"/>
        <w:gridCol w:w="241"/>
        <w:gridCol w:w="910"/>
        <w:gridCol w:w="124"/>
        <w:gridCol w:w="109"/>
        <w:gridCol w:w="109"/>
        <w:gridCol w:w="109"/>
        <w:gridCol w:w="220"/>
        <w:gridCol w:w="940"/>
        <w:gridCol w:w="160"/>
      </w:tblGrid>
      <w:tr>
        <w:trPr/>
        <w:tc>
          <w:tcPr>
            <w:tcW w:w="141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5"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(34,914)</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(141,275)</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(62,697)</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(394,949)</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net</w:t>
            </w:r>
            <w:r>
              <w:rPr>
                <w:rFonts w:ascii="Times New Roman;serif" w:hAnsi="Times New Roman;serif"/>
                <w:b w:val="false"/>
                <w:color w:val="000000"/>
                <w:sz w:val="13"/>
              </w:rPr>
              <w:t>(1)</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(30,241)</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(135,214)</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(54,403)</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(383,201)</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Change in fair value of financial liabilities</w:t>
            </w:r>
            <w:r>
              <w:rPr>
                <w:rFonts w:ascii="Times New Roman;serif" w:hAnsi="Times New Roman;serif"/>
                <w:b w:val="false"/>
                <w:color w:val="000000"/>
                <w:sz w:val="13"/>
              </w:rPr>
              <w:t>(2)</w:t>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w:t>
            </w:r>
            <w:r>
              <w:rPr>
                <w:rFonts w:ascii="Times New Roman;serif" w:hAnsi="Times New Roman;serif"/>
                <w:b w:val="false"/>
                <w:color w:val="000000"/>
                <w:sz w:val="13"/>
              </w:rPr>
              <w:t>(3)</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Goodwill impairment</w:t>
            </w:r>
            <w:r>
              <w:rPr>
                <w:rFonts w:ascii="Times New Roman;serif" w:hAnsi="Times New Roman;serif"/>
                <w:b w:val="false"/>
                <w:color w:val="000000"/>
                <w:sz w:val="13"/>
              </w:rPr>
              <w:t>(4)</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113,344 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346,557 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extinguishment of debt</w:t>
            </w:r>
            <w:r>
              <w:rPr>
                <w:rFonts w:ascii="Times New Roman;serif" w:hAnsi="Times New Roman;serif"/>
                <w:b w:val="false"/>
                <w:color w:val="000000"/>
                <w:sz w:val="13"/>
              </w:rPr>
              <w:t>(5)</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extinguishment of related party debt</w:t>
            </w:r>
            <w:r>
              <w:rPr>
                <w:rFonts w:ascii="Times New Roman;serif" w:hAnsi="Times New Roman;serif"/>
                <w:b w:val="false"/>
                <w:color w:val="000000"/>
                <w:sz w:val="13"/>
              </w:rPr>
              <w:t>(6)</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(22,576)</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left w:val="single" w:sz="8"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(16,178)</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(40,992)</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left w:val="single" w:sz="8"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(38,002)</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(1) Interest Expense, net, includes interest incurred on our various borrowing facilities and the amortization of debt issuance costs. </w:t>
      </w:r>
    </w:p>
    <w:p>
      <w:pPr>
        <w:pStyle w:val="TextBody"/>
        <w:bidi w:val="0"/>
        <w:spacing w:lineRule="auto" w:line="268" w:before="120" w:after="283"/>
        <w:jc w:val="both"/>
        <w:rPr>
          <w:rFonts w:ascii="Times New Roman;serif" w:hAnsi="Times New Roman;serif"/>
          <w:b w:val="false"/>
          <w:color w:val="000000"/>
          <w:sz w:val="16"/>
        </w:rPr>
      </w:pPr>
      <w:r>
        <w:rPr>
          <w:rFonts w:ascii="Times New Roman;serif" w:hAnsi="Times New Roman;serif"/>
          <w:b w:val="false"/>
          <w:color w:val="000000"/>
          <w:sz w:val="16"/>
        </w:rPr>
        <w:t>(2) Change in fair value of financial liabilities – For the three and six months ended June 30, 2026 and 2025, the change in fair value of financial liabilities primarily consists of the change in fair value of the warrant liability, the earnout liability and the embedded derivatives in various instruments.</w:t>
      </w:r>
    </w:p>
    <w:p>
      <w:pPr>
        <w:pStyle w:val="TextBody"/>
        <w:bidi w:val="0"/>
        <w:spacing w:lineRule="auto" w:line="268" w:before="12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(3) Stock based compensation – For the three and six months ended June 30, 2026 and 2025, stock based compensation primarily consisted of awards in the 2024 Equity and Incentive Plan. These awards consisted of Stock Options, Restricted Stock Units, and Stock Appreciation Rights. Further, a portion of this expense was related to share-based payment employee incentive plans in existence at subsidiaries. </w:t>
      </w:r>
    </w:p>
    <w:p>
      <w:pPr>
        <w:pStyle w:val="TextBody"/>
        <w:bidi w:val="0"/>
        <w:spacing w:lineRule="auto" w:line="268" w:before="120" w:after="283"/>
        <w:jc w:val="both"/>
        <w:rPr>
          <w:rFonts w:ascii="Times New Roman;serif" w:hAnsi="Times New Roman;serif"/>
          <w:b w:val="false"/>
          <w:color w:val="000000"/>
          <w:sz w:val="16"/>
        </w:rPr>
      </w:pPr>
      <w:r>
        <w:rPr>
          <w:rFonts w:ascii="Times New Roman;serif" w:hAnsi="Times New Roman;serif"/>
          <w:b w:val="false"/>
          <w:color w:val="000000"/>
          <w:sz w:val="16"/>
        </w:rPr>
        <w:t>(4) Goodwill impairment - For the three and six months ended June 30, 2025, the Company recognized goodwill impairment due to sustained decreases in the Company’s publicly quoted share price and market capitalization, which were, at least in part, sensitive to the general downward volatility experienced in the stock market in the comparable period in the prior year. There was no goodwill impairment for the three and six months ended June 30, 2026.</w:t>
      </w:r>
    </w:p>
    <w:p>
      <w:pPr>
        <w:pStyle w:val="TextBody"/>
        <w:bidi w:val="0"/>
        <w:spacing w:lineRule="auto" w:line="268" w:before="120" w:after="283"/>
        <w:jc w:val="both"/>
        <w:rPr/>
      </w:pPr>
      <w:r>
        <w:rPr>
          <w:rFonts w:ascii="Times New Roman;serif" w:hAnsi="Times New Roman;serif"/>
          <w:b w:val="false"/>
          <w:color w:val="000000"/>
          <w:sz w:val="16"/>
        </w:rPr>
        <w:t>(5) Loss on extinguishment of debt - For the six</w:t>
      </w:r>
      <w:r>
        <w:rPr>
          <w:color w:val="000000"/>
        </w:rPr>
        <w:t xml:space="preserve"> </w:t>
      </w:r>
      <w:r>
        <w:rPr>
          <w:rFonts w:ascii="Times New Roman;serif" w:hAnsi="Times New Roman;serif"/>
          <w:b w:val="false"/>
          <w:color w:val="000000"/>
          <w:sz w:val="16"/>
        </w:rPr>
        <w:t xml:space="preserve">months ended June 30, 2026 the Company repaid the Convertible Debentures, which resulted in an aggregate of $1.0 million loss on extinguishment of debt. There was no loss on extinguishment of debt for the three months ended June 30, 2026. For the three and six months ended June 30, 2025, the Company recognized a loss on extinguishment of debt of $3.5 million in connection with the modification of the WTI Facility. </w:t>
      </w:r>
    </w:p>
    <w:p>
      <w:pPr>
        <w:pStyle w:val="TextBody"/>
        <w:bidi w:val="0"/>
        <w:spacing w:lineRule="auto" w:line="268" w:before="120" w:after="283"/>
        <w:jc w:val="both"/>
        <w:rPr>
          <w:rFonts w:ascii="Times New Roman;serif" w:hAnsi="Times New Roman;serif"/>
          <w:b w:val="false"/>
          <w:color w:val="000000"/>
          <w:sz w:val="16"/>
        </w:rPr>
      </w:pPr>
      <w:r>
        <w:rPr>
          <w:rFonts w:ascii="Times New Roman;serif" w:hAnsi="Times New Roman;serif"/>
          <w:b w:val="false"/>
          <w:color w:val="000000"/>
          <w:sz w:val="16"/>
        </w:rPr>
        <w:t>(6) Loss on extinguishment of related party debt - For the six months ended June 30, 2025, the Company extinguished certain related party debts by issuing Series C Preferred Stock. There was no loss on extinguishment of related party debt for the three months ended June 30, 2026.</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discussed in more detail below, management has concluded that there is substantial doubt about our ability to continue as a going concern within one year after the date that the condensed consolidated financial statements included in Item 1. of this Form 10-Q were issued. The condensed consolidated financial statements have been prepared assuming that we will continue as a going concern and, accordingly, do not include any adjustments that might result from the outcome of this uncertainty.</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Sources of Liquidity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assessing liquidity, we monitor and analyze cash on hand and operating expenditure commitments. Our material cash requirements are from working capital requirements and operating expense obligations.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components of our current liquidity:</w:t>
      </w:r>
    </w:p>
    <w:tbl>
      <w:tblPr>
        <w:tblW w:w="5635" w:type="dxa"/>
        <w:jc w:val="left"/>
        <w:tblInd w:w="0" w:type="dxa"/>
        <w:tblLayout w:type="fixed"/>
        <w:tblCellMar>
          <w:top w:w="28" w:type="dxa"/>
          <w:left w:w="28" w:type="dxa"/>
          <w:bottom w:w="28" w:type="dxa"/>
          <w:right w:w="28" w:type="dxa"/>
        </w:tblCellMar>
      </w:tblPr>
      <w:tblGrid>
        <w:gridCol w:w="820"/>
        <w:gridCol w:w="720"/>
        <w:gridCol w:w="724"/>
        <w:gridCol w:w="258"/>
        <w:gridCol w:w="883"/>
        <w:gridCol w:w="133"/>
        <w:gridCol w:w="109"/>
        <w:gridCol w:w="109"/>
        <w:gridCol w:w="109"/>
        <w:gridCol w:w="344"/>
        <w:gridCol w:w="1175"/>
        <w:gridCol w:w="251"/>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41,543 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60,449 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long-term future liquidity requirements will depend on many factors, including funding required by us and our Innventure Companies to (i) support the growth of each of Innventure and the Innventure Companies and their respective business strategies; (ii) fund working capital, capital expenditures and general corporate expenditures; and (iii) support other business opportunities and expenditures. As of June 30, 2026, and over the next 12 months, we anticipate that Innventure will require at least $50.0 million to meet its operating and strategic needs, with up to an additional $25.0 million to support our Innventure Companies to the extent that they do not raise capital independently.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expect to meet these needs through a combination of cash on hand, operating cash flows, strategic investments, the SEPA with Yorkville (maximum remaining availability of approximately $53.9 million subject to the satisfaction of certain conditions in the SEPA) and additional financings completed by us and our Innventure Companies. While Innventure believes that Accelsius, AeroFlexx and Refinity have reached sufficient levels of maturity to be in a position to raise their own financing, if required, Innventure intends to continue to provide financial support to these Innventure Companies. Summarized below are equity and debt financing activities made for the six months ended June 30, 2026 and as of the date of this Form 10-Q.</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During the six months ended June 30, 2026, the Company sold 2,164,552</w:t>
      </w:r>
      <w:r>
        <w:rPr>
          <w:color w:val="000000"/>
        </w:rPr>
        <w:t xml:space="preserve"> </w:t>
      </w:r>
      <w:r>
        <w:rPr>
          <w:rFonts w:ascii="Times New Roman;serif" w:hAnsi="Times New Roman;serif"/>
          <w:b w:val="false"/>
          <w:color w:val="000000"/>
          <w:sz w:val="20"/>
        </w:rPr>
        <w:t xml:space="preserve">shares of Common Stock under the SEPA, raising $13.3 million in cash proceeds.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On January 12, 2026, the Company entered into securities purchase agreements with four institutional investors, and their affiliates, for the purchase and sale of 11,428,572 shares of Common Stock for gross proceeds of approximately $40.0 million, before deducting placement agent fees and offering expenses.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Cash Flows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Cash flows associated with operating, investing and financing activities for the six months ended June 30, 2026 and 2025 are summarized as follows:</w:t>
      </w:r>
    </w:p>
    <w:tbl>
      <w:tblPr>
        <w:tblW w:w="10205" w:type="dxa"/>
        <w:jc w:val="left"/>
        <w:tblInd w:w="0" w:type="dxa"/>
        <w:tblLayout w:type="fixed"/>
        <w:tblCellMar>
          <w:top w:w="28" w:type="dxa"/>
          <w:left w:w="28" w:type="dxa"/>
          <w:bottom w:w="28" w:type="dxa"/>
          <w:right w:w="28" w:type="dxa"/>
        </w:tblCellMar>
      </w:tblPr>
      <w:tblGrid>
        <w:gridCol w:w="1190"/>
        <w:gridCol w:w="1027"/>
        <w:gridCol w:w="1031"/>
        <w:gridCol w:w="385"/>
        <w:gridCol w:w="1401"/>
        <w:gridCol w:w="214"/>
        <w:gridCol w:w="109"/>
        <w:gridCol w:w="109"/>
        <w:gridCol w:w="109"/>
        <w:gridCol w:w="385"/>
        <w:gridCol w:w="1401"/>
        <w:gridCol w:w="214"/>
        <w:gridCol w:w="109"/>
        <w:gridCol w:w="109"/>
        <w:gridCol w:w="109"/>
        <w:gridCol w:w="196"/>
        <w:gridCol w:w="702"/>
        <w:gridCol w:w="109"/>
        <w:gridCol w:w="371"/>
        <w:gridCol w:w="374"/>
        <w:gridCol w:w="551"/>
      </w:tblGrid>
      <w:tr>
        <w:trPr/>
        <w:tc>
          <w:tcPr>
            <w:tcW w:w="119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3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top w:val="single" w:sz="6" w:space="0" w:color="FFFFFF"/>
              <w:bottom w:val="single" w:sz="6"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7" w:type="dxa"/>
            <w:gridSpan w:val="18"/>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4"/>
              </w:rPr>
            </w:pPr>
            <w:r>
              <w:rPr>
                <w:rFonts w:ascii="Times New Roman;serif" w:hAnsi="Times New Roman;serif"/>
                <w:b w:val="false"/>
                <w:i/>
                <w:color w:val="000000"/>
                <w:sz w:val="14"/>
              </w:rPr>
              <w:t>(in thousands)</w:t>
            </w:r>
          </w:p>
        </w:tc>
      </w:tr>
      <w:tr>
        <w:trPr/>
        <w:tc>
          <w:tcPr>
            <w:tcW w:w="32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(59,466)</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(36,754)</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61.8 </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(1,074)</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(3,640)</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(70.5)</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2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41,634 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41,240 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Net Increase (Decrease) in Cash, Cash Equivalents, and Restricted Cash</w:t>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(18,906)</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846</w:t>
            </w:r>
            <w:r>
              <w:rPr>
                <w:color w:val="000000"/>
              </w:rPr>
              <w:t>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(19,752)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(2,334.8)</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Net Cash Used in Operating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Cash flows used in operating activities were $59.5 million for the six months ended June 30, 2026, as compared to $36.8 million for the six months ended June 30, 2025, an increase of $22.7 million, or 61.8%. The increase is primarily related to working capital impacts.</w:t>
      </w:r>
    </w:p>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Net Cash Used in Investing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Cash flows used in investing activities were $1.1 million for the six months ended June 30, 2026, as compared to $3.6 million for the six months ended June 30, 2025, a decrease of $2.6 million or 70.5%. The decrease is primarily related to lower remittances in investments in available-for-sale debt securities in the current period.</w:t>
      </w:r>
    </w:p>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Net Cash Provided by Financing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Cash flows provided by financing activities were $41.6 million for the six months ended June 30, 2026, as compared to $41.2 million for the six months ended June 30, 2025, an increase of $0.4 million or 1.0%. The increase is primarily related to proceeds from the issuance of equity, partially offset by the repayment of debts.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Indebtedness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Refer to Note 5. Borrowings to our condensed consolidated financial statements as of June 30, 2026 and December 31, 2025 included in Item 1. of this Form 10-Q for a discussion of our indebtedness.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Contractual Obligations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contractual obligations, including payments due by period, as of June 30, 2026:</w:t>
      </w:r>
    </w:p>
    <w:tbl>
      <w:tblPr>
        <w:tblW w:w="10205" w:type="dxa"/>
        <w:jc w:val="left"/>
        <w:tblInd w:w="0" w:type="dxa"/>
        <w:tblLayout w:type="fixed"/>
        <w:tblCellMar>
          <w:top w:w="28" w:type="dxa"/>
          <w:left w:w="28" w:type="dxa"/>
          <w:bottom w:w="28" w:type="dxa"/>
          <w:right w:w="28" w:type="dxa"/>
        </w:tblCellMar>
      </w:tblPr>
      <w:tblGrid>
        <w:gridCol w:w="812"/>
        <w:gridCol w:w="647"/>
        <w:gridCol w:w="651"/>
        <w:gridCol w:w="340"/>
        <w:gridCol w:w="1188"/>
        <w:gridCol w:w="175"/>
        <w:gridCol w:w="109"/>
        <w:gridCol w:w="109"/>
        <w:gridCol w:w="109"/>
        <w:gridCol w:w="211"/>
        <w:gridCol w:w="631"/>
        <w:gridCol w:w="109"/>
        <w:gridCol w:w="109"/>
        <w:gridCol w:w="109"/>
        <w:gridCol w:w="109"/>
        <w:gridCol w:w="211"/>
        <w:gridCol w:w="631"/>
        <w:gridCol w:w="109"/>
        <w:gridCol w:w="109"/>
        <w:gridCol w:w="109"/>
        <w:gridCol w:w="109"/>
        <w:gridCol w:w="211"/>
        <w:gridCol w:w="481"/>
        <w:gridCol w:w="109"/>
        <w:gridCol w:w="109"/>
        <w:gridCol w:w="109"/>
        <w:gridCol w:w="109"/>
        <w:gridCol w:w="211"/>
        <w:gridCol w:w="631"/>
        <w:gridCol w:w="109"/>
        <w:gridCol w:w="109"/>
        <w:gridCol w:w="109"/>
        <w:gridCol w:w="109"/>
        <w:gridCol w:w="211"/>
        <w:gridCol w:w="736"/>
        <w:gridCol w:w="156"/>
      </w:tblGrid>
      <w:tr>
        <w:trPr/>
        <w:tc>
          <w:tcPr>
            <w:tcW w:w="81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 (remaining six months)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5" w:type="dxa"/>
            <w:gridSpan w:val="3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obligations</w:t>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future installments payable</w:t>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17,329</w:t>
            </w:r>
            <w:r>
              <w:rPr>
                <w:color w:val="000000"/>
              </w:rPr>
              <w:t>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9,536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825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9,075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42,379</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Going Concern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experienced recurring losses from operations and negative cash flows from operating activities. In addition, we and our Innventure Companies continue to have an ongoing need to raise additional cash from outside sources to sustain our and our Innventure Companies’ operations and fund our growth plans. In connection with our assessment of going concern considerations in accordance with Financial Accounting Standards Board’s Accounting Standards Update 2014-15, “Disclosures of Uncertainties about an Entity’s Ability to Continue as a Going Concern,” management has determined that these conditions raise substantial doubt about our ability to continue as a going concern within one year after the date of issuance of the condensed consolidated financial statements included in Item 1. of this Form 10-Q. If we are unable to obtain adequate capital from public or private equity or debt financing or otherwise generate sufficient revenues from our Innventure Companies to support our cost structure within the normal operating cycle of a twelve (12) month period, we may have to implement additional cost reduction measures or adjust the timing or scope of certain operations at Innventure or certain Innventure Companies, in part or in full, to help manage liquidity. If we raise additional funds through the issuance of additional debt or equity securities (at either the Innventure or Innventure Company level), it could result in substantial dilution to our existing stockholders and increased fixed payment obligations, and these securities may have rights senior to those of our Common Stock. See “Item 1A. Risk Factors – Risks Related to Innventure’s Business – There is uncertainty regarding Innventure’s ability to maintain liquidity sufficient to operate its business effectively, which raises substantial doubt about its ability to continue as a going concern” in our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can make no assurances that required financings will be available for the amounts needed, or on terms commercially acceptable to us, if at all. If subsequent capital raises or revenues from operations at the Innventure Companies are insufficient to bridge financial and liquidity shortfalls (or both), there would likely be a material adverse effect on our business and financial condition that would materially adversely affect our ability to continue as a going concern.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have been prepared assuming that we will continue as a going concern and, accordingly, do not include any adjustments that might result from the outcome of this uncertainty.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described in Note 2. Accounting Policies to our unaudited condensed consolidated financial statements included in this Form 10-Q, there have been no material changes to our critical accounting policies and estimates as compared to the critical accounting policies and estimates disclosed in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120" w:after="283"/>
        <w:jc w:val="both"/>
        <w:rPr/>
      </w:pPr>
      <w:r>
        <w:rPr/>
      </w:r>
    </w:p>
    <w:p>
      <w:pPr>
        <w:pStyle w:val="TextBody"/>
        <w:bidi w:val="0"/>
        <w:spacing w:lineRule="auto" w:line="256"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in Rule 12b-2 under the Exchange Act, for this reporting period and are not required to provide the information required under this item.</w:t>
      </w:r>
    </w:p>
    <w:p>
      <w:pPr>
        <w:pStyle w:val="TextBody"/>
        <w:bidi w:val="0"/>
        <w:spacing w:before="12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Innventure maintains disclosure controls and procedures that are designed to ensure that information required to be disclosed by Innventure in reports it files or submits under the Exchange Act is recorded, processed, summarized and reported in the time periods specified in the SEC’s rules and forms and that such information is accumulated and communicated to management, including the Chief Executive Officer and the Chief Financial Officer, as appropriate to allow for timely decisions regarding required disclosures.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management performed an evaluation, under the supervision and with the participation of the Chief Executive Officer and the Chief Financial Officer, of the effectiveness of our disclosure controls and procedures (as defined in Rule 13a-15(e) and 15d-15(e) under the Exchange Act). Based on this evaluation, the Chief Executive Officer and the Chief Financial Officer concluded that the Company’s disclosure controls and procedures were effective as of June 30, 2026, the end of the period covered by this Quarterly Report on Form 10-Q.</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that occurred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Except as described within Part I, Item 1, “Notes to the Condensed Consolidated Financial Statements - Note 16. Commitments and Contingencies”, there are presently no material pending legal proceedings to which the Company (including AeroFlexx, Accelsius and Refinity) is a party or of which any of its property is subject and no material proceedings to which any director, officer, or affiliate of the Company, or any owner of record or beneficially of more than five percent of any class of voting securities of the Company, is an adverse party or has a material interest adverse to the Company, and no such proceedings are known to the Company to be threatened or contemplated against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120" w:after="283"/>
        <w:jc w:val="both"/>
        <w:rPr/>
      </w:pPr>
      <w:r>
        <w:rPr/>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a smaller reporting company, as defined in Rule 12b-2 under the Exchange Act, for this reporting period and are not required to provide the information required under this item. </w:t>
      </w:r>
    </w:p>
    <w:p>
      <w:pPr>
        <w:pStyle w:val="TextBody"/>
        <w:bidi w:val="0"/>
        <w:spacing w:before="120" w:after="283"/>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120" w:after="283"/>
        <w:jc w:val="both"/>
        <w:rPr/>
      </w:pPr>
      <w:r>
        <w:rPr/>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Recent Sales of Unregistered Equity Securities</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the Company issued to Yorkville an aggregate of 2,097,552 shares of Common Stock pursuant to the terms of the SEPA, at a weighted-average effective price of $6.21 per share for aggregate cash proceeds of $13.0 million. The Company issued the securities in transactions that did not involve an underwriter and did not require registration under Section 5 of the Securities Act in reliance on the exemption afforded by Section 4(a)(2) thereof or Regulation D promulgated under the Securities Act.</w:t>
      </w:r>
    </w:p>
    <w:p>
      <w:pPr>
        <w:pStyle w:val="TextBody"/>
        <w:bidi w:val="0"/>
        <w:spacing w:before="120" w:after="283"/>
        <w:jc w:val="both"/>
        <w:rPr/>
      </w:pPr>
      <w:r>
        <w:rPr/>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Issuer Repurchases of Securities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DarkNX Project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At this time, Accelsius is party to a purchase order with DarkNX whereby Accelsius is to provide cooling equipment and services concerning six, ten-megawatt deployments.  Accelsius has recently been informed that the deployment site identified in the DarkNX purchase order is no longer available. Accelsius has removed the DarkNX project from its internal bookings pending identification of an alternative deployment location and satisfaction of other conditions.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Insider Trading Arrangements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June 30, 2026, none of our directors or officers (as defined in Rule 16a-1(f) under the Exchange Act) adopted, modified or terminated a Rule 10b5-1 trading arrangement or a “non-Rule 10b5-1 trading arrangement” (as defined in Item 408 of Regulation 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24"/>
        <w:gridCol w:w="284"/>
        <w:gridCol w:w="285"/>
        <w:gridCol w:w="109"/>
        <w:gridCol w:w="109"/>
        <w:gridCol w:w="109"/>
        <w:gridCol w:w="2809"/>
        <w:gridCol w:w="2547"/>
        <w:gridCol w:w="3629"/>
      </w:tblGrid>
      <w:tr>
        <w:trPr/>
        <w:tc>
          <w:tcPr>
            <w:tcW w:w="32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9"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Exhibits</w:t>
            </w:r>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"https://www.sec.gov/Archives/edgar/data/2001557/000114036124040480/ny20012992x29_s4a.htm" \l "tANNEXA"</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 xml:space="preserve">Business Combination Agreement, dated as of October 24, 2023, by and among Learn SPAC Holdco, Inc., Learn CW Investment Corporation, LCW Merger Sub, Inc., Innventure LLC and Innventure Merger Sub, LLC (incorporated by reference to Annex A to Innventure, Inc.’s Registration Statement on Form S-4 filed with the SEC on September 6, 2024). </w:t>
            </w:r>
            <w:r>
              <w:rPr>
                <w:rStyle w:val="InternetLink"/>
                <w:sz w:val="20"/>
                <w:u w:val="single"/>
                <w:b w:val="false"/>
                <w:rFonts w:ascii="Times New Roman;serif" w:hAnsi="Times New Roman;serif"/>
                <w:color w:val="0000FF"/>
              </w:rPr>
              <w:fldChar w:fldCharType="end"/>
            </w:r>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20"/>
                  <w:u w:val="single"/>
                </w:rPr>
                <w:t>Amended and Restated Certificate of Incorporation of Innventure, Inc., filed with the Secretary of State of Delaware on October 2, 2024 (incorporated by reference to Exhibit 3.1 to Innventure</w:t>
              </w:r>
            </w:hyperlink>
            <w:hyperlink r:id="rId3">
              <w:r>
                <w:rPr>
                  <w:rStyle w:val="InternetLink"/>
                  <w:rFonts w:ascii="Times New Roman;serif" w:hAnsi="Times New Roman;serif"/>
                  <w:b w:val="false"/>
                  <w:color w:val="000080"/>
                  <w:sz w:val="20"/>
                  <w:u w:val="single"/>
                </w:rPr>
                <w:t>,</w:t>
              </w:r>
            </w:hyperlink>
            <w:hyperlink r:id="rId4">
              <w:r>
                <w:rPr>
                  <w:rStyle w:val="InternetLink"/>
                  <w:rFonts w:ascii="Times New Roman;serif" w:hAnsi="Times New Roman;serif"/>
                  <w:b w:val="false"/>
                  <w:color w:val="000080"/>
                  <w:sz w:val="20"/>
                  <w:u w:val="single"/>
                </w:rPr>
                <w:t xml:space="preserve"> Inc.’s Current Report on Form 8-K filed with the SEC on October 9, 2024). </w:t>
              </w:r>
            </w:hyperlink>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80"/>
                  <w:sz w:val="20"/>
                  <w:u w:val="single"/>
                </w:rPr>
                <w:t>By-laws of Innventure, Inc. (incorporated by reference to Exhibit 3.2 to Innventure</w:t>
              </w:r>
            </w:hyperlink>
            <w:hyperlink r:id="rId6">
              <w:r>
                <w:rPr>
                  <w:rStyle w:val="InternetLink"/>
                  <w:rFonts w:ascii="Times New Roman;serif" w:hAnsi="Times New Roman;serif"/>
                  <w:b w:val="false"/>
                  <w:color w:val="000080"/>
                  <w:sz w:val="20"/>
                  <w:u w:val="single"/>
                </w:rPr>
                <w:t>,</w:t>
              </w:r>
            </w:hyperlink>
            <w:hyperlink r:id="rId7">
              <w:r>
                <w:rPr>
                  <w:rStyle w:val="InternetLink"/>
                  <w:rFonts w:ascii="Times New Roman;serif" w:hAnsi="Times New Roman;serif"/>
                  <w:b w:val="false"/>
                  <w:color w:val="000080"/>
                  <w:sz w:val="20"/>
                  <w:u w:val="single"/>
                </w:rPr>
                <w:t xml:space="preserve"> Inc.’s Current Report on Form 8-K filed with the SEC on October 9, 2024). </w:t>
              </w:r>
            </w:hyperlink>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Certificate of Designation of Series B Preferred Stock, dated October 2, 2024, of Innventure, Inc. (incorporated by reference to Exhibit 3.3 to Innventure, Inc.’s Quarterly Report on Form 10-Q filed with the SEC on May 15, 2025).</w:t>
              </w:r>
            </w:hyperlink>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80"/>
                  <w:sz w:val="20"/>
                  <w:u w:val="single"/>
                </w:rPr>
                <w:t>Certificate of Designation of Series C Preferred Stock, dated March 24, 2025, of Innventure, Inc. (incorporated by reference to Exhibit 3.1 to Innventure</w:t>
              </w:r>
            </w:hyperlink>
            <w:hyperlink r:id="rId10">
              <w:r>
                <w:rPr>
                  <w:rStyle w:val="InternetLink"/>
                  <w:rFonts w:ascii="Times New Roman;serif" w:hAnsi="Times New Roman;serif"/>
                  <w:b w:val="false"/>
                  <w:color w:val="000080"/>
                  <w:sz w:val="20"/>
                  <w:u w:val="single"/>
                </w:rPr>
                <w:t>,</w:t>
              </w:r>
            </w:hyperlink>
            <w:hyperlink r:id="rId11">
              <w:r>
                <w:rPr>
                  <w:rStyle w:val="InternetLink"/>
                  <w:rFonts w:ascii="Times New Roman;serif" w:hAnsi="Times New Roman;serif"/>
                  <w:b w:val="false"/>
                  <w:color w:val="000080"/>
                  <w:sz w:val="20"/>
                  <w:u w:val="single"/>
                </w:rPr>
                <w:t xml:space="preserve"> Inc.’s Current Report on Form 8-K filed with the SEC on March 25, 2025).</w:t>
              </w:r>
            </w:hyperlink>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80"/>
                  <w:sz w:val="20"/>
                  <w:u w:val="single"/>
                </w:rPr>
                <w:t xml:space="preserve">Consulting Agreement by and between </w:t>
              </w:r>
            </w:hyperlink>
            <w:hyperlink r:id="rId13">
              <w:r>
                <w:rPr>
                  <w:rStyle w:val="InternetLink"/>
                  <w:rFonts w:ascii="Times New Roman;serif" w:hAnsi="Times New Roman;serif"/>
                  <w:b w:val="false"/>
                  <w:color w:val="000080"/>
                  <w:sz w:val="20"/>
                  <w:u w:val="single"/>
                </w:rPr>
                <w:t xml:space="preserve">Innventure, Inc. and </w:t>
              </w:r>
            </w:hyperlink>
            <w:hyperlink r:id="rId14">
              <w:r>
                <w:rPr>
                  <w:rStyle w:val="InternetLink"/>
                  <w:rFonts w:ascii="Times New Roman;serif" w:hAnsi="Times New Roman;serif"/>
                  <w:b w:val="false"/>
                  <w:color w:val="000080"/>
                  <w:sz w:val="20"/>
                  <w:u w:val="single"/>
                </w:rPr>
                <w:t>Gregory W. Haskell</w:t>
              </w:r>
            </w:hyperlink>
            <w:hyperlink r:id="rId15">
              <w:r>
                <w:rPr>
                  <w:rStyle w:val="InternetLink"/>
                  <w:rFonts w:ascii="Times New Roman;serif" w:hAnsi="Times New Roman;serif"/>
                  <w:b w:val="false"/>
                  <w:color w:val="000080"/>
                  <w:sz w:val="20"/>
                  <w:u w:val="single"/>
                </w:rPr>
                <w:t>,</w:t>
              </w:r>
            </w:hyperlink>
            <w:hyperlink r:id="rId16">
              <w:r>
                <w:rPr>
                  <w:rStyle w:val="InternetLink"/>
                  <w:rFonts w:ascii="Times New Roman;serif" w:hAnsi="Times New Roman;serif"/>
                  <w:b w:val="false"/>
                  <w:color w:val="000080"/>
                  <w:sz w:val="20"/>
                  <w:u w:val="single"/>
                </w:rPr>
                <w:t xml:space="preserve"> dated June 26, 2026 (incorporated by reference to Exhibit 10.1 to Innventure</w:t>
              </w:r>
            </w:hyperlink>
            <w:hyperlink r:id="rId17">
              <w:r>
                <w:rPr>
                  <w:rStyle w:val="InternetLink"/>
                  <w:rFonts w:ascii="Times New Roman;serif" w:hAnsi="Times New Roman;serif"/>
                  <w:b w:val="false"/>
                  <w:color w:val="000080"/>
                  <w:sz w:val="20"/>
                  <w:u w:val="single"/>
                </w:rPr>
                <w:t>,</w:t>
              </w:r>
            </w:hyperlink>
            <w:hyperlink r:id="rId18">
              <w:r>
                <w:rPr>
                  <w:rStyle w:val="InternetLink"/>
                  <w:rFonts w:ascii="Times New Roman;serif" w:hAnsi="Times New Roman;serif"/>
                  <w:b w:val="false"/>
                  <w:color w:val="000080"/>
                  <w:sz w:val="20"/>
                  <w:u w:val="single"/>
                </w:rPr>
                <w:t xml:space="preserve"> Inc.’s Current Report on Form 8-K filed with the SEC on June 30, 2026).</w:t>
              </w:r>
            </w:hyperlink>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80"/>
                  <w:sz w:val="20"/>
                  <w:u w:val="single"/>
                </w:rPr>
                <w:t>Employment Letter by and between William Grieco and Innventure LLC, dated June 26, 2026 (incorporated by reference to Exhibit 10.2 to Innventure</w:t>
              </w:r>
            </w:hyperlink>
            <w:hyperlink r:id="rId20">
              <w:r>
                <w:rPr>
                  <w:rStyle w:val="InternetLink"/>
                  <w:rFonts w:ascii="Times New Roman;serif" w:hAnsi="Times New Roman;serif"/>
                  <w:b w:val="false"/>
                  <w:color w:val="000080"/>
                  <w:sz w:val="20"/>
                  <w:u w:val="single"/>
                </w:rPr>
                <w:t>,</w:t>
              </w:r>
            </w:hyperlink>
            <w:hyperlink r:id="rId21">
              <w:r>
                <w:rPr>
                  <w:rStyle w:val="InternetLink"/>
                  <w:rFonts w:ascii="Times New Roman;serif" w:hAnsi="Times New Roman;serif"/>
                  <w:b w:val="false"/>
                  <w:color w:val="000080"/>
                  <w:sz w:val="20"/>
                  <w:u w:val="single"/>
                </w:rPr>
                <w:t xml:space="preserve"> Inc.’s Current Report on Form 8-K filed with the SEC on June 30, 2026).</w:t>
              </w:r>
            </w:hyperlink>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nv-exhibit311to2026q2.htm">
              <w:r>
                <w:rPr>
                  <w:rStyle w:val="InternetLink"/>
                  <w:rFonts w:ascii="Times New Roman;serif" w:hAnsi="Times New Roman;serif"/>
                  <w:b w:val="false"/>
                  <w:color w:val="000080"/>
                  <w:sz w:val="20"/>
                  <w:u w:val="single"/>
                </w:rPr>
                <w:t xml:space="preserve">Rule 13a-14(a) Certification by Gregory W. Haskell, Chief Executive Officer, for the quarter ended </w:t>
              </w:r>
            </w:hyperlink>
            <w:hyperlink w:anchor="inv-exhibit311to2026q2.htm">
              <w:r>
                <w:rPr>
                  <w:rStyle w:val="InternetLink"/>
                  <w:rFonts w:ascii="Times New Roman;serif" w:hAnsi="Times New Roman;serif"/>
                  <w:b w:val="false"/>
                  <w:color w:val="000080"/>
                  <w:sz w:val="20"/>
                  <w:u w:val="single"/>
                </w:rPr>
                <w:t>June 30</w:t>
              </w:r>
            </w:hyperlink>
            <w:hyperlink w:anchor="inv-exhibit311to2026q2.htm">
              <w:r>
                <w:rPr>
                  <w:rStyle w:val="InternetLink"/>
                  <w:rFonts w:ascii="Times New Roman;serif" w:hAnsi="Times New Roman;serif"/>
                  <w:b w:val="false"/>
                  <w:color w:val="000080"/>
                  <w:sz w:val="20"/>
                  <w:u w:val="single"/>
                </w:rPr>
                <w:t>, 2026.</w:t>
              </w:r>
            </w:hyperlink>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nv-exhibit312to2026q2.htm">
              <w:r>
                <w:rPr>
                  <w:rStyle w:val="InternetLink"/>
                  <w:rFonts w:ascii="Times New Roman;serif" w:hAnsi="Times New Roman;serif"/>
                  <w:b w:val="false"/>
                  <w:color w:val="000080"/>
                  <w:sz w:val="20"/>
                  <w:u w:val="single"/>
                </w:rPr>
                <w:t xml:space="preserve">Rule 13a-14(a) Certification by David Yablunosky, Chief Financial Officer, for the quarter ended </w:t>
              </w:r>
            </w:hyperlink>
            <w:hyperlink w:anchor="inv-exhibit312to2026q2.htm">
              <w:r>
                <w:rPr>
                  <w:rStyle w:val="InternetLink"/>
                  <w:rFonts w:ascii="Times New Roman;serif" w:hAnsi="Times New Roman;serif"/>
                  <w:b w:val="false"/>
                  <w:color w:val="000080"/>
                  <w:sz w:val="20"/>
                  <w:u w:val="single"/>
                </w:rPr>
                <w:t>June 30</w:t>
              </w:r>
            </w:hyperlink>
            <w:hyperlink w:anchor="inv-exhibit312to2026q2.htm">
              <w:r>
                <w:rPr>
                  <w:rStyle w:val="InternetLink"/>
                  <w:rFonts w:ascii="Times New Roman;serif" w:hAnsi="Times New Roman;serif"/>
                  <w:b w:val="false"/>
                  <w:color w:val="000080"/>
                  <w:sz w:val="20"/>
                  <w:u w:val="single"/>
                </w:rPr>
                <w:t>, 2026.</w:t>
              </w:r>
            </w:hyperlink>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nv-exhibit321to2026q2.htm">
              <w:r>
                <w:rPr>
                  <w:rStyle w:val="InternetLink"/>
                  <w:rFonts w:ascii="Times New Roman;serif" w:hAnsi="Times New Roman;serif"/>
                  <w:b w:val="false"/>
                  <w:color w:val="000080"/>
                  <w:sz w:val="20"/>
                  <w:u w:val="single"/>
                </w:rPr>
                <w:t xml:space="preserve">Section 1350 Certification by Gregory W. Haskell, Chief Executive Officer, for the quarter ended </w:t>
              </w:r>
            </w:hyperlink>
            <w:hyperlink w:anchor="inv-exhibit321to2026q2.htm">
              <w:r>
                <w:rPr>
                  <w:rStyle w:val="InternetLink"/>
                  <w:rFonts w:ascii="Times New Roman;serif" w:hAnsi="Times New Roman;serif"/>
                  <w:b w:val="false"/>
                  <w:color w:val="000080"/>
                  <w:sz w:val="20"/>
                  <w:u w:val="single"/>
                </w:rPr>
                <w:t>June 30</w:t>
              </w:r>
            </w:hyperlink>
            <w:hyperlink w:anchor="inv-exhibit321to2026q2.htm">
              <w:r>
                <w:rPr>
                  <w:rStyle w:val="InternetLink"/>
                  <w:rFonts w:ascii="Times New Roman;serif" w:hAnsi="Times New Roman;serif"/>
                  <w:b w:val="false"/>
                  <w:color w:val="000080"/>
                  <w:sz w:val="20"/>
                  <w:u w:val="single"/>
                </w:rPr>
                <w:t>, 2026.</w:t>
              </w:r>
            </w:hyperlink>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nv-exhibit322to2026q2.htm">
              <w:r>
                <w:rPr>
                  <w:rStyle w:val="InternetLink"/>
                  <w:rFonts w:ascii="Times New Roman;serif" w:hAnsi="Times New Roman;serif"/>
                  <w:b w:val="false"/>
                  <w:color w:val="000080"/>
                  <w:sz w:val="20"/>
                  <w:u w:val="single"/>
                </w:rPr>
                <w:t xml:space="preserve">Section 1350 Certification by David Yablunosky, Chief Financial Officer, for the quarter ended </w:t>
              </w:r>
            </w:hyperlink>
            <w:hyperlink w:anchor="inv-exhibit322to2026q2.htm">
              <w:r>
                <w:rPr>
                  <w:rStyle w:val="InternetLink"/>
                  <w:rFonts w:ascii="Times New Roman;serif" w:hAnsi="Times New Roman;serif"/>
                  <w:b w:val="false"/>
                  <w:color w:val="000080"/>
                  <w:sz w:val="20"/>
                  <w:u w:val="single"/>
                </w:rPr>
                <w:t>June 30</w:t>
              </w:r>
            </w:hyperlink>
            <w:hyperlink w:anchor="inv-exhibit322to2026q2.htm">
              <w:r>
                <w:rPr>
                  <w:rStyle w:val="InternetLink"/>
                  <w:rFonts w:ascii="Times New Roman;serif" w:hAnsi="Times New Roman;serif"/>
                  <w:b w:val="false"/>
                  <w:color w:val="000080"/>
                  <w:sz w:val="20"/>
                  <w:u w:val="single"/>
                </w:rPr>
                <w:t>, 2026.</w:t>
              </w:r>
            </w:hyperlink>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from Innventure, Inc.’s Quarterly Report on Form 10-Q for the quarter ended June 30, 2026, formatted in Inline XBRL (eXtensible Business Reporting Language): (i) Condensed Consolidated Balance Sheets as of June 30, 2026 and December 31, 2025; (ii) Condensed Consolidated Statements of Operations and Comprehensive Income (Loss) for the three and six months ended June 30, 2026 and 2025; (iii) Condensed Consolidated Statements of Changes in Mezzanine and Stockholders’ Equity for the three and six months ended June 30, 2026 and 2025; (iv) Condensed Consolidated Statements of Cash Flows for the six months ended June 30, 2026 and 2025; and (v) Notes to Condensed Consolidated Financial Statements.</w:t>
            </w:r>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*Filed herewith</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**Furnished herewith</w:t>
      </w:r>
    </w:p>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Indicates management contract or compensatory plan or arrangement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+Schedules and exhibits have been omitted pursuant to Item 601(b)(2) of Regulation S-K. The registrant agrees to furnish supplementally a copy of any omitted schedule or exhibit to the SEC upon request.</w:t>
      </w:r>
    </w:p>
    <w:p>
      <w:pPr>
        <w:pStyle w:val="TextBody"/>
        <w:bidi w:val="0"/>
        <w:spacing w:before="0" w:after="0"/>
        <w:jc w:val="left"/>
        <w:rPr/>
      </w:pPr>
      <w:r>
        <w:rPr/>
      </w:r>
    </w:p>
    <w:p>
      <w:pPr>
        <w:pStyle w:val="TextBody"/>
        <w:bidi w:val="0"/>
        <w:spacing w:before="0" w:after="18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6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120" w:after="283"/>
        <w:ind w:left="0" w:right="0" w:firstLine="360"/>
        <w:jc w:val="both"/>
        <w:rPr/>
      </w:pPr>
      <w:r>
        <w:rPr/>
      </w:r>
    </w:p>
    <w:tbl>
      <w:tblPr>
        <w:tblW w:w="5963" w:type="dxa"/>
        <w:jc w:val="left"/>
        <w:tblInd w:w="0" w:type="dxa"/>
        <w:tblLayout w:type="fixed"/>
        <w:tblCellMar>
          <w:top w:w="28" w:type="dxa"/>
          <w:left w:w="28" w:type="dxa"/>
          <w:bottom w:w="28" w:type="dxa"/>
          <w:right w:w="28" w:type="dxa"/>
        </w:tblCellMar>
      </w:tblPr>
      <w:tblGrid>
        <w:gridCol w:w="705"/>
        <w:gridCol w:w="621"/>
        <w:gridCol w:w="624"/>
        <w:gridCol w:w="298"/>
        <w:gridCol w:w="298"/>
        <w:gridCol w:w="298"/>
        <w:gridCol w:w="909"/>
        <w:gridCol w:w="909"/>
        <w:gridCol w:w="130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INNVENTURE,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Gregory W. Haskell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Gregory W. Haskell</w:t>
            </w:r>
          </w:p>
        </w:tc>
      </w:tr>
      <w:tr>
        <w:trPr/>
        <w:tc>
          <w:tcPr>
            <w:tcW w:w="195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David Yablunosky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David Yablunosky</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Director</w:t>
            </w:r>
          </w:p>
        </w:tc>
      </w:tr>
    </w:tbl>
    <w:p>
      <w:pPr>
        <w:pStyle w:val="TextBody"/>
        <w:bidi w:val="0"/>
        <w:spacing w:before="0" w:after="60"/>
        <w:jc w:val="center"/>
        <w:rPr/>
      </w:pPr>
      <w:r>
        <w:rPr/>
      </w:r>
    </w:p>
    <w:p>
      <w:pPr>
        <w:pStyle w:val="TextBody"/>
        <w:bidi w:val="0"/>
        <w:spacing w:before="120" w:after="283"/>
        <w:ind w:left="0" w:right="0" w:firstLine="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31.1</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Gregory W. Haskell, certify that: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Innventure, Inc.;</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By:</w:t>
      </w:r>
      <w:r>
        <w:rPr>
          <w:color w:val="000000"/>
          <w:u w:val="single"/>
        </w:rPr>
        <w:t>     </w:t>
      </w:r>
      <w:r>
        <w:rPr>
          <w:rFonts w:ascii="Times New Roman;serif" w:hAnsi="Times New Roman;serif"/>
          <w:b w:val="false"/>
          <w:color w:val="000000"/>
          <w:sz w:val="24"/>
          <w:u w:val="single"/>
        </w:rPr>
        <w:t>/s/ Gregory W. Haskell</w:t>
      </w:r>
      <w:r>
        <w:rPr>
          <w:color w:val="000000"/>
          <w:u w:val="single"/>
        </w:rPr>
        <w:t>                                            </w:t>
      </w: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Gregory W. Haskell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extBody"/>
        <w:bidi w:val="0"/>
        <w:spacing w:lineRule="auto" w:line="288"/>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31.2</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David Yablunosky, certify that: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Innventure, Inc.;</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By: </w:t>
      </w:r>
      <w:r>
        <w:rPr>
          <w:color w:val="000000"/>
          <w:u w:val="single"/>
        </w:rPr>
        <w:t>      </w:t>
      </w:r>
      <w:r>
        <w:rPr>
          <w:rFonts w:ascii="Times New Roman;serif" w:hAnsi="Times New Roman;serif"/>
          <w:b w:val="false"/>
          <w:color w:val="000000"/>
          <w:sz w:val="24"/>
          <w:u w:val="single"/>
        </w:rPr>
        <w:t>/s/ David Yablunosky</w:t>
      </w:r>
      <w:r>
        <w:rPr>
          <w:color w:val="000000"/>
          <w:u w:val="single"/>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David Yablunosky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extBody"/>
        <w:bidi w:val="0"/>
        <w:spacing w:lineRule="auto" w:line="288"/>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32.1</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Innventure, Inc. (the “Company”) on Form 10-Q for the three months ended June 30, 2026 (the “Report”), Gregory W. Haskell, Chief Executive Officer of the Company, certifies, to the best of his knowledge, pursuant to 18 U.S.C. Section 1350, as adopted pursuant to Section 906 of the Sarbanes-Oxley Act of 2002, that: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By: </w:t>
      </w:r>
      <w:r>
        <w:rPr>
          <w:color w:val="000000"/>
          <w:u w:val="single"/>
        </w:rPr>
        <w:t>    </w:t>
      </w:r>
      <w:r>
        <w:rPr>
          <w:rFonts w:ascii="Times New Roman;serif" w:hAnsi="Times New Roman;serif"/>
          <w:b w:val="false"/>
          <w:color w:val="000000"/>
          <w:sz w:val="24"/>
          <w:u w:val="single"/>
        </w:rPr>
        <w:t>/s/ Gregory W. Haskell</w:t>
      </w:r>
      <w:r>
        <w:rPr>
          <w:color w:val="000000"/>
          <w:u w:val="single"/>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Gregory W. Haskell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32.2</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Innventure, Inc. (the “Company”) on Form 10-Q for the three months ended June 30, 2026 (the “Report”), David Yablunosky, Chief Financial Officer of the Company, certifies, to the best of his knowledge, pursuant to 18 U.S.C. Section 1350, as adopted pursuant to Section 906 of the Sarbanes-Oxley Act of 2002, that: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By: </w:t>
      </w:r>
      <w:r>
        <w:rPr>
          <w:color w:val="000000"/>
          <w:u w:val="single"/>
        </w:rPr>
        <w:t>       </w:t>
      </w:r>
      <w:r>
        <w:rPr>
          <w:rFonts w:ascii="Times New Roman;serif" w:hAnsi="Times New Roman;serif"/>
          <w:b w:val="false"/>
          <w:color w:val="000000"/>
          <w:sz w:val="24"/>
          <w:u w:val="single"/>
        </w:rPr>
        <w:t>/s/ David Yablunosky</w:t>
      </w:r>
      <w:r>
        <w:rPr>
          <w:color w:val="000000"/>
          <w:u w:val="single"/>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David Yablunosky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01557/000114036124043179/ef20036737_ex3-1.htm" TargetMode="External"/><Relationship Id="rId3" Type="http://schemas.openxmlformats.org/officeDocument/2006/relationships/hyperlink" Target="https://www.sec.gov/Archives/edgar/data/2001557/000114036124043179/ef20036737_ex3-1.htm" TargetMode="External"/><Relationship Id="rId4" Type="http://schemas.openxmlformats.org/officeDocument/2006/relationships/hyperlink" Target="https://www.sec.gov/Archives/edgar/data/2001557/000114036124043179/ef20036737_ex3-1.htm" TargetMode="External"/><Relationship Id="rId5" Type="http://schemas.openxmlformats.org/officeDocument/2006/relationships/hyperlink" Target="https://www.sec.gov/Archives/edgar/data/2001557/000114036124043179/ef20036737_ex3-2.htm" TargetMode="External"/><Relationship Id="rId6" Type="http://schemas.openxmlformats.org/officeDocument/2006/relationships/hyperlink" Target="https://www.sec.gov/Archives/edgar/data/2001557/000114036124043179/ef20036737_ex3-2.htm" TargetMode="External"/><Relationship Id="rId7" Type="http://schemas.openxmlformats.org/officeDocument/2006/relationships/hyperlink" Target="https://www.sec.gov/Archives/edgar/data/2001557/000114036124043179/ef20036737_ex3-2.htm" TargetMode="External"/><Relationship Id="rId8" Type="http://schemas.openxmlformats.org/officeDocument/2006/relationships/hyperlink" Target="https://www.sec.gov/Archives/edgar/data/2001557/000162828025025892/inv-ex33innventureseriesbp.htm" TargetMode="External"/><Relationship Id="rId9" Type="http://schemas.openxmlformats.org/officeDocument/2006/relationships/hyperlink" Target="https://www.sec.gov/Archives/edgar/data/2001557/000114036125010165/ef20045914_ex3-1.htm" TargetMode="External"/><Relationship Id="rId10" Type="http://schemas.openxmlformats.org/officeDocument/2006/relationships/hyperlink" Target="https://www.sec.gov/Archives/edgar/data/2001557/000114036125010165/ef20045914_ex3-1.htm" TargetMode="External"/><Relationship Id="rId11" Type="http://schemas.openxmlformats.org/officeDocument/2006/relationships/hyperlink" Target="https://www.sec.gov/Archives/edgar/data/2001557/000114036125010165/ef20045914_ex3-1.htm" TargetMode="External"/><Relationship Id="rId12" Type="http://schemas.openxmlformats.org/officeDocument/2006/relationships/hyperlink" Target="https://www.sec.gov/Archives/edgar/data/2001557/000200155726000144/haskellconsultingagreement.htm" TargetMode="External"/><Relationship Id="rId13" Type="http://schemas.openxmlformats.org/officeDocument/2006/relationships/hyperlink" Target="https://www.sec.gov/Archives/edgar/data/2001557/000200155726000144/haskellconsultingagreement.htm" TargetMode="External"/><Relationship Id="rId14" Type="http://schemas.openxmlformats.org/officeDocument/2006/relationships/hyperlink" Target="https://www.sec.gov/Archives/edgar/data/2001557/000200155726000144/haskellconsultingagreement.htm" TargetMode="External"/><Relationship Id="rId15" Type="http://schemas.openxmlformats.org/officeDocument/2006/relationships/hyperlink" Target="https://www.sec.gov/Archives/edgar/data/2001557/000200155726000144/haskellconsultingagreement.htm" TargetMode="External"/><Relationship Id="rId16" Type="http://schemas.openxmlformats.org/officeDocument/2006/relationships/hyperlink" Target="https://www.sec.gov/Archives/edgar/data/2001557/000200155726000144/haskellconsultingagreement.htm" TargetMode="External"/><Relationship Id="rId17" Type="http://schemas.openxmlformats.org/officeDocument/2006/relationships/hyperlink" Target="https://www.sec.gov/Archives/edgar/data/2001557/000200155726000144/haskellconsultingagreement.htm" TargetMode="External"/><Relationship Id="rId18" Type="http://schemas.openxmlformats.org/officeDocument/2006/relationships/hyperlink" Target="https://www.sec.gov/Archives/edgar/data/2001557/000200155726000144/haskellconsultingagreement.htm" TargetMode="External"/><Relationship Id="rId19" Type="http://schemas.openxmlformats.org/officeDocument/2006/relationships/hyperlink" Target="https://www.sec.gov/Archives/edgar/data/2001557/000200155726000144/griecoemploymentletterfinal.htm" TargetMode="External"/><Relationship Id="rId20" Type="http://schemas.openxmlformats.org/officeDocument/2006/relationships/hyperlink" Target="https://www.sec.gov/Archives/edgar/data/2001557/000200155726000144/griecoemploymentletterfinal.htm" TargetMode="External"/><Relationship Id="rId21" Type="http://schemas.openxmlformats.org/officeDocument/2006/relationships/hyperlink" Target="https://www.sec.gov/Archives/edgar/data/2001557/000200155726000144/griecoemploymentletterfinal.htm"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21734</Words>
  <Characters>120350</Characters>
  <CharactersWithSpaces>140882</CharactersWithSpaces>
  <Paragraphs>3391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