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924560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944245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620" w:hanging="601"/>
        <w:spacing w:after="0"/>
        <w:tabs>
          <w:tab w:leader="none" w:pos="62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color w:val="auto"/>
        </w:rPr>
        <w:t>December 31, 2024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620" w:hanging="601"/>
        <w:spacing w:after="0"/>
        <w:tabs>
          <w:tab w:leader="none" w:pos="62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For the transition period from to</w:t>
            </w:r>
          </w:p>
        </w:tc>
        <w:tc>
          <w:tcPr>
            <w:tcW w:w="4020" w:type="dxa"/>
            <w:vAlign w:val="bottom"/>
          </w:tcPr>
          <w:p>
            <w:pPr>
              <w:spacing w:after="0"/>
              <w:rPr>
                <w:sz w:val="16"/>
                <w:szCs w:val="16"/>
                <w:color w:val="auto"/>
              </w:rPr>
            </w:pPr>
          </w:p>
        </w:tc>
      </w:tr>
      <w:tr>
        <w:trPr>
          <w:trHeight w:val="297"/>
        </w:trPr>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Commission file number 001-42303</w:t>
            </w:r>
          </w:p>
        </w:tc>
        <w:tc>
          <w:tcPr>
            <w:tcW w:w="4020" w:type="dxa"/>
            <w:vAlign w:val="bottom"/>
          </w:tcPr>
          <w:p>
            <w:pPr>
              <w:spacing w:after="0"/>
              <w:rPr>
                <w:sz w:val="24"/>
                <w:szCs w:val="24"/>
                <w:color w:val="auto"/>
              </w:rPr>
            </w:pPr>
          </w:p>
        </w:tc>
      </w:tr>
      <w:tr>
        <w:trPr>
          <w:trHeight w:val="297"/>
        </w:trPr>
        <w:tc>
          <w:tcPr>
            <w:tcW w:w="4100" w:type="dxa"/>
            <w:vAlign w:val="bottom"/>
          </w:tcPr>
          <w:p>
            <w:pPr>
              <w:spacing w:after="0"/>
              <w:rPr>
                <w:sz w:val="24"/>
                <w:szCs w:val="24"/>
                <w:color w:val="auto"/>
              </w:rPr>
            </w:pPr>
          </w:p>
        </w:tc>
        <w:tc>
          <w:tcPr>
            <w:tcW w:w="270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437"/>
        </w:trPr>
        <w:tc>
          <w:tcPr>
            <w:tcW w:w="4100" w:type="dxa"/>
            <w:vAlign w:val="bottom"/>
          </w:tcPr>
          <w:p>
            <w:pPr>
              <w:spacing w:after="0"/>
              <w:rPr>
                <w:sz w:val="24"/>
                <w:szCs w:val="24"/>
                <w:color w:val="auto"/>
              </w:rPr>
            </w:pPr>
          </w:p>
        </w:tc>
        <w:tc>
          <w:tcPr>
            <w:tcW w:w="3180" w:type="dxa"/>
            <w:vAlign w:val="bottom"/>
            <w:gridSpan w:val="3"/>
          </w:tcPr>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INNVENTURE, INC.</w:t>
            </w:r>
          </w:p>
        </w:tc>
        <w:tc>
          <w:tcPr>
            <w:tcW w:w="4020" w:type="dxa"/>
            <w:vAlign w:val="bottom"/>
          </w:tcPr>
          <w:p>
            <w:pPr>
              <w:spacing w:after="0"/>
              <w:rPr>
                <w:sz w:val="24"/>
                <w:szCs w:val="24"/>
                <w:color w:val="auto"/>
              </w:rPr>
            </w:pPr>
          </w:p>
        </w:tc>
      </w:tr>
      <w:tr>
        <w:trPr>
          <w:trHeight w:val="281"/>
        </w:trPr>
        <w:tc>
          <w:tcPr>
            <w:tcW w:w="4100" w:type="dxa"/>
            <w:vAlign w:val="bottom"/>
          </w:tcPr>
          <w:p>
            <w:pPr>
              <w:spacing w:after="0"/>
              <w:rPr>
                <w:sz w:val="24"/>
                <w:szCs w:val="24"/>
                <w:color w:val="auto"/>
              </w:rPr>
            </w:pPr>
          </w:p>
        </w:tc>
        <w:tc>
          <w:tcPr>
            <w:tcW w:w="3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4020" w:type="dxa"/>
            <w:vAlign w:val="bottom"/>
          </w:tcPr>
          <w:p>
            <w:pPr>
              <w:spacing w:after="0"/>
              <w:rPr>
                <w:sz w:val="24"/>
                <w:szCs w:val="24"/>
                <w:color w:val="auto"/>
              </w:rPr>
            </w:pPr>
          </w:p>
        </w:tc>
      </w:tr>
      <w:tr>
        <w:trPr>
          <w:trHeight w:val="184"/>
        </w:trPr>
        <w:tc>
          <w:tcPr>
            <w:tcW w:w="4100" w:type="dxa"/>
            <w:vAlign w:val="bottom"/>
          </w:tcPr>
          <w:p>
            <w:pPr>
              <w:spacing w:after="0"/>
              <w:rPr>
                <w:sz w:val="16"/>
                <w:szCs w:val="16"/>
                <w:color w:val="auto"/>
              </w:rPr>
            </w:pPr>
          </w:p>
        </w:tc>
        <w:tc>
          <w:tcPr>
            <w:tcW w:w="270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8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340"/>
        </w:trPr>
        <w:tc>
          <w:tcPr>
            <w:tcW w:w="410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jc w:val="right"/>
              <w:ind w:right="2429"/>
              <w:spacing w:after="0"/>
              <w:rPr>
                <w:sz w:val="20"/>
                <w:szCs w:val="20"/>
                <w:color w:val="auto"/>
              </w:rPr>
            </w:pPr>
            <w:r>
              <w:rPr>
                <w:rFonts w:ascii="Times New Roman" w:cs="Times New Roman" w:eastAsia="Times New Roman" w:hAnsi="Times New Roman"/>
                <w:sz w:val="14"/>
                <w:szCs w:val="14"/>
                <w:b w:val="1"/>
                <w:bCs w:val="1"/>
                <w:color w:val="auto"/>
              </w:rPr>
              <w:t>93-4440048</w:t>
            </w:r>
          </w:p>
        </w:tc>
      </w:tr>
      <w:tr>
        <w:trPr>
          <w:trHeight w:val="198"/>
        </w:trPr>
        <w:tc>
          <w:tcPr>
            <w:tcW w:w="410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5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4100" w:type="dxa"/>
            <w:vAlign w:val="bottom"/>
          </w:tcPr>
          <w:p>
            <w:pPr>
              <w:jc w:val="center"/>
              <w:ind w:left="1489"/>
              <w:spacing w:after="0"/>
              <w:rPr>
                <w:sz w:val="20"/>
                <w:szCs w:val="20"/>
                <w:color w:val="auto"/>
              </w:rPr>
            </w:pPr>
            <w:r>
              <w:rPr>
                <w:rFonts w:ascii="Times New Roman" w:cs="Times New Roman" w:eastAsia="Times New Roman" w:hAnsi="Times New Roman"/>
                <w:sz w:val="14"/>
                <w:szCs w:val="14"/>
                <w:color w:val="auto"/>
              </w:rPr>
              <w:t>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38"/>
        </w:trPr>
        <w:tc>
          <w:tcPr>
            <w:tcW w:w="410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w w:val="99"/>
              </w:rPr>
              <w:t>6900 Tavistock Lakes Blvd, Suite 400</w:t>
            </w: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07"/>
        </w:trPr>
        <w:tc>
          <w:tcPr>
            <w:tcW w:w="410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Orlando, Florida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20" w:type="dxa"/>
            <w:vAlign w:val="bottom"/>
          </w:tcPr>
          <w:p>
            <w:pPr>
              <w:jc w:val="right"/>
              <w:ind w:right="2589"/>
              <w:spacing w:after="0"/>
              <w:rPr>
                <w:sz w:val="20"/>
                <w:szCs w:val="20"/>
                <w:color w:val="auto"/>
              </w:rPr>
            </w:pPr>
            <w:r>
              <w:rPr>
                <w:rFonts w:ascii="Times New Roman" w:cs="Times New Roman" w:eastAsia="Times New Roman" w:hAnsi="Times New Roman"/>
                <w:sz w:val="14"/>
                <w:szCs w:val="14"/>
                <w:b w:val="1"/>
                <w:bCs w:val="1"/>
                <w:color w:val="auto"/>
              </w:rPr>
              <w:t>32827</w:t>
            </w:r>
          </w:p>
        </w:tc>
      </w:tr>
      <w:tr>
        <w:trPr>
          <w:trHeight w:val="191"/>
        </w:trPr>
        <w:tc>
          <w:tcPr>
            <w:tcW w:w="4100" w:type="dxa"/>
            <w:vAlign w:val="bottom"/>
          </w:tcPr>
          <w:p>
            <w:pPr>
              <w:jc w:val="center"/>
              <w:ind w:left="14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20" w:type="dxa"/>
            <w:vAlign w:val="bottom"/>
          </w:tcPr>
          <w:p>
            <w:pPr>
              <w:jc w:val="center"/>
              <w:ind w:right="1569"/>
              <w:spacing w:after="0"/>
              <w:rPr>
                <w:sz w:val="20"/>
                <w:szCs w:val="20"/>
                <w:color w:val="auto"/>
              </w:rPr>
            </w:pPr>
            <w:r>
              <w:rPr>
                <w:rFonts w:ascii="Times New Roman" w:cs="Times New Roman" w:eastAsia="Times New Roman" w:hAnsi="Times New Roman"/>
                <w:sz w:val="14"/>
                <w:szCs w:val="14"/>
                <w:color w:val="auto"/>
              </w:rPr>
              <w:t>(Zip Code)</w:t>
            </w:r>
          </w:p>
        </w:tc>
      </w:tr>
      <w:tr>
        <w:trPr>
          <w:trHeight w:val="368"/>
        </w:trPr>
        <w:tc>
          <w:tcPr>
            <w:tcW w:w="4100" w:type="dxa"/>
            <w:vAlign w:val="bottom"/>
          </w:tcPr>
          <w:p>
            <w:pPr>
              <w:spacing w:after="0"/>
              <w:rPr>
                <w:sz w:val="24"/>
                <w:szCs w:val="24"/>
                <w:color w:val="auto"/>
              </w:rPr>
            </w:pPr>
          </w:p>
        </w:tc>
        <w:tc>
          <w:tcPr>
            <w:tcW w:w="2700" w:type="dxa"/>
            <w:vAlign w:val="bottom"/>
            <w:gridSpan w:val="2"/>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(321) 209-6787</w:t>
            </w: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84"/>
        </w:trPr>
        <w:tc>
          <w:tcPr>
            <w:tcW w:w="4100" w:type="dxa"/>
            <w:vAlign w:val="bottom"/>
          </w:tcPr>
          <w:p>
            <w:pPr>
              <w:spacing w:after="0"/>
              <w:rPr>
                <w:sz w:val="16"/>
                <w:szCs w:val="16"/>
                <w:color w:val="auto"/>
              </w:rPr>
            </w:pPr>
          </w:p>
        </w:tc>
        <w:tc>
          <w:tcPr>
            <w:tcW w:w="31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20" w:type="dxa"/>
            <w:vAlign w:val="bottom"/>
          </w:tcPr>
          <w:p>
            <w:pPr>
              <w:spacing w:after="0"/>
              <w:rPr>
                <w:sz w:val="16"/>
                <w:szCs w:val="16"/>
                <w:color w:val="auto"/>
              </w:rPr>
            </w:pPr>
          </w:p>
        </w:tc>
      </w:tr>
      <w:tr>
        <w:trPr>
          <w:trHeight w:val="297"/>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2"/>
        </w:trPr>
        <w:tc>
          <w:tcPr>
            <w:tcW w:w="4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r>
      <w:tr>
        <w:trPr>
          <w:trHeight w:val="181"/>
        </w:trPr>
        <w:tc>
          <w:tcPr>
            <w:tcW w:w="4100" w:type="dxa"/>
            <w:vAlign w:val="bottom"/>
            <w:tcBorders>
              <w:left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rPr>
              <w:t>Title of each class</w:t>
            </w:r>
          </w:p>
        </w:tc>
        <w:tc>
          <w:tcPr>
            <w:tcW w:w="4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0" w:type="dxa"/>
            <w:vAlign w:val="bottom"/>
          </w:tcPr>
          <w:p>
            <w:pPr>
              <w:spacing w:after="0"/>
              <w:rPr>
                <w:sz w:val="15"/>
                <w:szCs w:val="15"/>
                <w:color w:val="auto"/>
              </w:rPr>
            </w:pPr>
          </w:p>
        </w:tc>
        <w:tc>
          <w:tcPr>
            <w:tcW w:w="4020" w:type="dxa"/>
            <w:vAlign w:val="bottom"/>
            <w:tcBorders>
              <w:right w:val="single" w:sz="8" w:color="auto"/>
            </w:tcBorders>
          </w:tcPr>
          <w:p>
            <w:pPr>
              <w:jc w:val="center"/>
              <w:ind w:right="44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2"/>
        </w:trPr>
        <w:tc>
          <w:tcPr>
            <w:tcW w:w="410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4100" w:type="dxa"/>
            <w:vAlign w:val="bottom"/>
            <w:tcBorders>
              <w:left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4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w:t>
            </w:r>
          </w:p>
        </w:tc>
        <w:tc>
          <w:tcPr>
            <w:tcW w:w="480" w:type="dxa"/>
            <w:vAlign w:val="bottom"/>
          </w:tcPr>
          <w:p>
            <w:pPr>
              <w:spacing w:after="0"/>
              <w:rPr>
                <w:sz w:val="15"/>
                <w:szCs w:val="15"/>
                <w:color w:val="auto"/>
              </w:rPr>
            </w:pPr>
          </w:p>
        </w:tc>
        <w:tc>
          <w:tcPr>
            <w:tcW w:w="4020" w:type="dxa"/>
            <w:vAlign w:val="bottom"/>
            <w:tcBorders>
              <w:right w:val="single" w:sz="8" w:color="auto"/>
            </w:tcBorders>
          </w:tcPr>
          <w:p>
            <w:pPr>
              <w:jc w:val="center"/>
              <w:ind w:right="449"/>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4100" w:type="dxa"/>
            <w:vAlign w:val="bottom"/>
            <w:tcBorders>
              <w:left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20" w:type="dxa"/>
            <w:vAlign w:val="bottom"/>
            <w:tcBorders>
              <w:right w:val="single" w:sz="8" w:color="auto"/>
            </w:tcBorders>
          </w:tcPr>
          <w:p>
            <w:pPr>
              <w:spacing w:after="0" w:line="20" w:lineRule="exact"/>
              <w:rPr>
                <w:sz w:val="1"/>
                <w:szCs w:val="1"/>
                <w:color w:val="auto"/>
              </w:rPr>
            </w:pPr>
          </w:p>
        </w:tc>
      </w:tr>
    </w:tbl>
    <w:p>
      <w:pPr>
        <w:spacing w:after="0" w:line="18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3" w:lineRule="exact"/>
        <w:rPr>
          <w:sz w:val="24"/>
          <w:szCs w:val="24"/>
          <w:color w:val="auto"/>
        </w:rPr>
      </w:pPr>
    </w:p>
    <w:p>
      <w:pPr>
        <w:ind w:left="1052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3"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3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33"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3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80" w:type="dxa"/>
            <w:vAlign w:val="bottom"/>
          </w:tcPr>
          <w:p>
            <w:pPr>
              <w:ind w:left="1000"/>
              <w:spacing w:after="0"/>
              <w:rPr>
                <w:sz w:val="20"/>
                <w:szCs w:val="20"/>
                <w:color w:val="auto"/>
              </w:rPr>
            </w:pPr>
            <w:r>
              <w:rPr>
                <w:rFonts w:ascii="Wingdings" w:cs="Wingdings" w:eastAsia="Wingdings" w:hAnsi="Wingdings"/>
                <w:sz w:val="14"/>
                <w:szCs w:val="14"/>
                <w:b w:val="1"/>
                <w:bCs w:val="1"/>
                <w:color w:val="auto"/>
              </w:rPr>
              <w:t>o</w:t>
            </w:r>
          </w:p>
        </w:tc>
        <w:tc>
          <w:tcPr>
            <w:tcW w:w="4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860"/>
              <w:spacing w:after="0"/>
              <w:rPr>
                <w:sz w:val="20"/>
                <w:szCs w:val="20"/>
                <w:color w:val="auto"/>
              </w:rPr>
            </w:pPr>
            <w:r>
              <w:rPr>
                <w:rFonts w:ascii="Wingdings" w:cs="Wingdings" w:eastAsia="Wingdings" w:hAnsi="Wingdings"/>
                <w:sz w:val="14"/>
                <w:szCs w:val="14"/>
                <w:b w:val="1"/>
                <w:bCs w:val="1"/>
                <w:color w:val="auto"/>
              </w:rPr>
              <w:t>o</w:t>
            </w:r>
          </w:p>
        </w:tc>
      </w:tr>
      <w:tr>
        <w:trPr>
          <w:trHeight w:val="255"/>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80" w:type="dxa"/>
            <w:vAlign w:val="bottom"/>
          </w:tcPr>
          <w:p>
            <w:pPr>
              <w:ind w:left="1000"/>
              <w:spacing w:after="0"/>
              <w:rPr>
                <w:sz w:val="20"/>
                <w:szCs w:val="20"/>
                <w:color w:val="auto"/>
              </w:rPr>
            </w:pPr>
            <w:r>
              <w:rPr>
                <w:rFonts w:ascii="Wingdings" w:cs="Wingdings" w:eastAsia="Wingdings" w:hAnsi="Wingdings"/>
                <w:sz w:val="14"/>
                <w:szCs w:val="14"/>
                <w:b w:val="1"/>
                <w:bCs w:val="1"/>
                <w:color w:val="auto"/>
              </w:rPr>
              <w:t>x</w:t>
            </w:r>
          </w:p>
        </w:tc>
        <w:tc>
          <w:tcPr>
            <w:tcW w:w="4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860"/>
              <w:spacing w:after="0"/>
              <w:rPr>
                <w:sz w:val="20"/>
                <w:szCs w:val="20"/>
                <w:color w:val="auto"/>
              </w:rPr>
            </w:pPr>
            <w:r>
              <w:rPr>
                <w:rFonts w:ascii="Wingdings" w:cs="Wingdings" w:eastAsia="Wingdings" w:hAnsi="Wingdings"/>
                <w:sz w:val="14"/>
                <w:szCs w:val="14"/>
                <w:b w:val="1"/>
                <w:bCs w:val="1"/>
                <w:color w:val="auto"/>
                <w:w w:val="94"/>
              </w:rPr>
              <w:t>x</w:t>
            </w:r>
          </w:p>
        </w:tc>
      </w:tr>
      <w:tr>
        <w:trPr>
          <w:trHeight w:val="382"/>
        </w:trPr>
        <w:tc>
          <w:tcPr>
            <w:tcW w:w="2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34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860"/>
              <w:spacing w:after="0"/>
              <w:rPr>
                <w:sz w:val="20"/>
                <w:szCs w:val="20"/>
                <w:color w:val="auto"/>
              </w:rPr>
            </w:pPr>
            <w:r>
              <w:rPr>
                <w:rFonts w:ascii="Wingdings" w:cs="Wingdings" w:eastAsia="Wingdings" w:hAnsi="Wingdings"/>
                <w:sz w:val="14"/>
                <w:szCs w:val="14"/>
                <w:b w:val="1"/>
                <w:bCs w:val="1"/>
                <w:color w:val="auto"/>
                <w:w w:val="94"/>
              </w:rPr>
              <w:t>x</w:t>
            </w:r>
          </w:p>
        </w:tc>
      </w:tr>
    </w:tbl>
    <w:p>
      <w:pPr>
        <w:spacing w:after="0" w:line="336"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12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127"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160"/>
        <w:spacing w:after="0"/>
        <w:rPr>
          <w:sz w:val="20"/>
          <w:szCs w:val="20"/>
          <w:color w:val="auto"/>
        </w:rPr>
      </w:pPr>
      <w:r>
        <w:rPr>
          <w:rFonts w:ascii="Wingdings" w:cs="Wingdings" w:eastAsia="Wingdings" w:hAnsi="Wingdings"/>
          <w:sz w:val="13"/>
          <w:szCs w:val="13"/>
          <w:b w:val="1"/>
          <w:bCs w:val="1"/>
          <w:color w:val="auto"/>
        </w:rPr>
        <w:t>o</w:t>
      </w:r>
    </w:p>
    <w:p>
      <w:pPr>
        <w:spacing w:after="0" w:line="13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p>
      <w:pPr>
        <w:spacing w:after="0" w:line="23" w:lineRule="exact"/>
        <w:rPr>
          <w:sz w:val="20"/>
          <w:szCs w:val="20"/>
          <w:color w:val="auto"/>
        </w:rPr>
      </w:pPr>
    </w:p>
    <w:p>
      <w:pPr>
        <w:ind w:left="10520"/>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registrant’s common stock was not listed on any exchange. The registrant’s common stock began regular-way trading on the Nasdaq Global Market on October 3,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April 8, 2025, the registrant had 47,106,300 shares of common stock outstanding.</w:t>
      </w:r>
    </w:p>
    <w:p>
      <w:pPr>
        <w:spacing w:after="0" w:line="13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9340" w:type="dxa"/>
            <w:vAlign w:val="bottom"/>
          </w:tcPr>
          <w:p>
            <w:pPr>
              <w:ind w:left="39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96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Page No.</w:t>
            </w:r>
          </w:p>
        </w:tc>
        <w:tc>
          <w:tcPr>
            <w:tcW w:w="0" w:type="dxa"/>
            <w:vAlign w:val="bottom"/>
          </w:tcPr>
          <w:p>
            <w:pPr>
              <w:spacing w:after="0"/>
              <w:rPr>
                <w:sz w:val="1"/>
                <w:szCs w:val="1"/>
                <w:color w:val="auto"/>
              </w:rPr>
            </w:pPr>
          </w:p>
        </w:tc>
      </w:tr>
      <w:tr>
        <w:trPr>
          <w:trHeight w:val="30"/>
        </w:trPr>
        <w:tc>
          <w:tcPr>
            <w:tcW w:w="960" w:type="dxa"/>
            <w:vAlign w:val="bottom"/>
          </w:tcPr>
          <w:p>
            <w:pPr>
              <w:spacing w:after="0"/>
              <w:rPr>
                <w:sz w:val="2"/>
                <w:szCs w:val="2"/>
                <w:color w:val="auto"/>
              </w:rPr>
            </w:pPr>
          </w:p>
        </w:tc>
        <w:tc>
          <w:tcPr>
            <w:tcW w:w="9340" w:type="dxa"/>
            <w:vAlign w:val="bottom"/>
            <w:vMerge w:val="restart"/>
          </w:tcPr>
          <w:p>
            <w:pPr>
              <w:ind w:left="396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Business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Risk Factors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Cybersecurity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Properties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Legal Proceedings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Mine Safety Disclosures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9340" w:type="dxa"/>
            <w:vAlign w:val="bottom"/>
          </w:tcPr>
          <w:p>
            <w:pPr>
              <w:ind w:left="39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[Reserved]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Controls and Procedures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9340" w:type="dxa"/>
            <w:vAlign w:val="bottom"/>
          </w:tcPr>
          <w:p>
            <w:pPr>
              <w:ind w:left="390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Executive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9340" w:type="dxa"/>
            <w:vAlign w:val="bottom"/>
          </w:tcPr>
          <w:p>
            <w:pPr>
              <w:ind w:left="390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9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Form 10-K Summary</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Signatures</w:t>
            </w:r>
          </w:p>
        </w:tc>
        <w:tc>
          <w:tcPr>
            <w:tcW w:w="9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163830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311"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38"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Unless the context requires otherwise, references in this Annual Report on Form 10-K (“Form 10-K”) to “Innventure,” the “Company,” “we,” “our” or “us” refer to Innventure, Inc. and its consolidated subsidiaries.</w:t>
      </w:r>
    </w:p>
    <w:p>
      <w:pPr>
        <w:spacing w:after="0" w:line="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This Form 10-K contains forward-looking statements,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forward-looking statements are based on the current expectations of the Company’s management and are inherently subject to uncertainties and changes in circumstances and their potential effects and speak only as of the date of this Form 10-K.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Securities and Exchange Commission (the “SEC”) by the Company and the following:</w:t>
      </w:r>
    </w:p>
    <w:p>
      <w:pPr>
        <w:spacing w:after="0" w:line="101" w:lineRule="exact"/>
        <w:rPr>
          <w:sz w:val="20"/>
          <w:szCs w:val="20"/>
          <w:color w:val="auto"/>
        </w:rPr>
      </w:pPr>
    </w:p>
    <w:p>
      <w:pPr>
        <w:ind w:left="520" w:right="14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Innventure’s and the Innventure Companies’ (as defined below)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market acceptance and success of Innventure’s and the Innventure Companies’ business models and growth strategies;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future capital requirements and sources and uses of cash;</w:t>
      </w:r>
    </w:p>
    <w:p>
      <w:pPr>
        <w:spacing w:after="0" w:line="136"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meet the various conditions, including the available cash and performance targets and issuance of warrant instruments to the WTI Lenders (as defined below), and access any additional installments draws, if available, under the WTI Facility (as defined below);</w:t>
      </w:r>
    </w:p>
    <w:p>
      <w:pPr>
        <w:spacing w:after="0" w:line="81" w:lineRule="exact"/>
        <w:rPr>
          <w:rFonts w:ascii="Times New Roman" w:cs="Times New Roman" w:eastAsia="Times New Roman" w:hAnsi="Times New Roman"/>
          <w:sz w:val="14"/>
          <w:szCs w:val="14"/>
          <w:color w:val="auto"/>
        </w:rPr>
      </w:pPr>
    </w:p>
    <w:p>
      <w:pPr>
        <w:ind w:left="520" w:right="16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meet the various conditions and satisfy the various limitations under the Standby Equity Purchase Agreement (the “SEPA”) with YA II PN, Ltd. (“Yorkville”), including exchange caps, issuances and subscriptions based on trading volumes, to continue to access the funds available under the SEPA or the Securities Purchase Agreement and related Convertible Debentures (as defined below) due to certain conditions, restrictions and limitations set forth therein;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restrictions and limitations set forth in Innventure’s debt instruments, which may impair Innventure’s financial and operating flexibility;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and the Innventure Companies’ ability to generate liquidity and maintain sufficient capital to operate as anticipated;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obtain funding for its operations and future growth and to continue as a going concern;</w:t>
      </w:r>
    </w:p>
    <w:p>
      <w:pPr>
        <w:spacing w:after="0" w:line="136"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technology solutions that Innventure and the Innventure Companies license or acquire from third parties or develop internally may not function as anticipated or provide the benefits anticipated;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 w:name="page5"/>
    <w:bookmarkEnd w:id="4"/>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projections relating to Innventure’s and the Innventure Companies’ competitors and industry;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scale the operations of their respective businesses;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establish substantial commercial sales of their products;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Innventure and the Innventure Companies to compete against companies with greater capital and other resources or superior technology or products;</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against Innventure or the Innventure Companies;</w:t>
      </w:r>
    </w:p>
    <w:p>
      <w:pPr>
        <w:spacing w:after="0" w:line="136" w:lineRule="exact"/>
        <w:rPr>
          <w:rFonts w:ascii="Times New Roman" w:cs="Times New Roman" w:eastAsia="Times New Roman" w:hAnsi="Times New Roman"/>
          <w:sz w:val="14"/>
          <w:szCs w:val="14"/>
          <w:color w:val="auto"/>
        </w:rPr>
      </w:pPr>
    </w:p>
    <w:p>
      <w:pPr>
        <w:ind w:left="520" w:right="46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find future opportunities to license or acquire breakthrough technology solutions from multinational corporations (“MNCs”) or other third parties (collectively, “Technology Solutions Providers”) and to satisfy the requirements imposed by or to avoid disagreements with its current and future Technology Solutions Providers;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launch of new companies distracts Innventure’s management from its subsidiaries and their respective operations;</w:t>
      </w:r>
    </w:p>
    <w:p>
      <w:pPr>
        <w:spacing w:after="0" w:line="136"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81" w:lineRule="exact"/>
        <w:rPr>
          <w:rFonts w:ascii="Times New Roman" w:cs="Times New Roman" w:eastAsia="Times New Roman" w:hAnsi="Times New Roman"/>
          <w:sz w:val="14"/>
          <w:szCs w:val="14"/>
          <w:color w:val="auto"/>
        </w:rPr>
      </w:pPr>
    </w:p>
    <w:p>
      <w:pPr>
        <w:ind w:left="520" w:right="38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a cyber-attack or a failure of Innventure’s information technology and data security infrastructure;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recognize the anticipated benefits of the Business Combination;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risk and changes in applicable laws or regulations, including with respect to foreign trade policy and tariffs;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adverse effects of other economic, business, and/or competitive factors;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related to Innventure and its Operating Companies, which have limited or no operating history;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liquidity and trading of Innventure’s securities.</w:t>
      </w:r>
    </w:p>
    <w:p>
      <w:pPr>
        <w:spacing w:after="0" w:line="136"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All forward-looking statements in this Form 10-K are made as of the date hereof, based on information available to Innventure as of the date hereof, and Innventure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5" w:name="page6"/>
    <w:bookmarkEnd w:id="5"/>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Technologies, Inc. (“PureCycle” or “PCT”) in late 2015 (technology initially sourced from The Procter &amp; Gamble Company (“P&amp;G”)), AeroFlexx, LLC (“AeroFlexx” or “AFX”) in 2018 (technology sourced from P&amp;G), and Accelsius Holdings LLC (“Accelsius” or “ACC”) in 2022 (technology initially sourced from the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report,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DownSelect process consists of four separate phases, with successive phases building on work done in the previous phases and deepening the level of analyses done as opportunities progress through the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843280</wp:posOffset>
            </wp:positionV>
            <wp:extent cx="4042410" cy="1199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042410" cy="119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Phase 1 – Opportunity Screen</w:t>
      </w:r>
      <w:r>
        <w:rPr>
          <w:rFonts w:ascii="Times New Roman" w:cs="Times New Roman" w:eastAsia="Times New Roman" w:hAnsi="Times New Roman"/>
          <w:sz w:val="14"/>
          <w:szCs w:val="14"/>
          <w:color w:val="auto"/>
        </w:rPr>
        <w:t>: Innventure’s team screens opportunities that are reflective of the four dimensions of the DownSelect Process; (1) technology developed by an MNC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technology innovator, (2) significant market need, (3) transformative solution and (4) strategic execution. We analyze high level business, financial, and technology issues to determine if the opportunity meets our key success criteria.</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Phase 2 – Critical Factor Assessment</w:t>
      </w:r>
      <w:r>
        <w:rPr>
          <w:rFonts w:ascii="Times New Roman" w:cs="Times New Roman" w:eastAsia="Times New Roman" w:hAnsi="Times New Roman"/>
          <w:sz w:val="14"/>
          <w:szCs w:val="14"/>
          <w:color w:val="auto"/>
        </w:rPr>
        <w:t>: We identify, assess, and prioritize an opportunity’s critical success and risk factors and develop a plan (to be executed in Phase 3) for in-depth systematic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Phase 3 – Comprehensive Quantification</w:t>
      </w:r>
      <w:r>
        <w:rPr>
          <w:rFonts w:ascii="Times New Roman" w:cs="Times New Roman" w:eastAsia="Times New Roman" w:hAnsi="Times New Roman"/>
          <w:sz w:val="14"/>
          <w:szCs w:val="14"/>
          <w:color w:val="auto"/>
        </w:rPr>
        <w:t>: The Innventure team conducts a comprehensive review across all DownSelect dimensions. A core focus is on quantitative analysis and strategy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w:t>
      </w:r>
    </w:p>
    <w:p>
      <w:pPr>
        <w:spacing w:after="0" w:line="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an opportunity that successfully passes through Phase 3, the DownSelect team, in collaboration with Innventure senior leadership, recommends to the Board of Directors (the “Board”) that the opportunity move to Phase 4 and proceed to create a new Innventure Company.</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Phase 4 – Strategy &amp; Formation</w:t>
      </w:r>
      <w:r>
        <w:rPr>
          <w:rFonts w:ascii="Times New Roman" w:cs="Times New Roman" w:eastAsia="Times New Roman" w:hAnsi="Times New Roman"/>
          <w:sz w:val="14"/>
          <w:szCs w:val="14"/>
          <w:color w:val="auto"/>
        </w:rPr>
        <w:t>: We set the initial strategy, including go-to-market strategies and initial business plan, for the Innventure Company, secure control of the technology via licensing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ownership, and create the new company.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majority (or sole) ownership.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 w:name="page8"/>
    <w:bookmarkEnd w:id="7"/>
    <w:p>
      <w:pPr>
        <w:ind w:right="240"/>
        <w:spacing w:after="0" w:line="264" w:lineRule="auto"/>
        <w:rPr>
          <w:sz w:val="20"/>
          <w:szCs w:val="20"/>
          <w:color w:val="auto"/>
        </w:rPr>
      </w:pPr>
      <w:r>
        <w:rPr>
          <w:rFonts w:ascii="Times New Roman" w:cs="Times New Roman" w:eastAsia="Times New Roman" w:hAnsi="Times New Roman"/>
          <w:sz w:val="14"/>
          <w:szCs w:val="14"/>
          <w:color w:val="auto"/>
        </w:rPr>
        <w:t>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 Conglomerate Model,” Innventure intends to retain majority (or sole) ownership. We believe that holding majority stakes in companies allows those companies to mature further and gives us the opportunity to derive greater value from those companies as we operate them over the long term. We are currently deploying this model for Accelsius and Refinity. While an opportunistic sale or other disposition of one or more of our majority-held companies could occur in the future, exit transactions are not expected to be a factor in the business plans for Accelsius or Refinity or for future Operating Companies.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report and should not be considered a part of this report.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led by Gregory W. (Bill) Haskell, our Chief Executive Officer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Structure</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March 7, 2025, Innventure LLC owns 37.9% of AeroFlexx, and the remainder of AeroFlexx is collectively owned by Innventure and AeroFlexx directors, officers and employees (9.0%); Innventus ESG Fund I, L.P. (the “ESG Fund”) (34.7%); and investors external to Innventure and AeroFlexx (18.4%). Further, as of March 7, 2025, Innventure LLC owns 52.7% of Accelsius, and the remainder of Accelsius is collectively owned by Innventure and Accelsius directors, officers, and employees (25.5%), the ESG Fund (4.1%), and investors external to Innventure and Accelsius (17.7%). As of March 7, 2025, Innventure LLC owns 71.8% of Refinity Holdings, LLC (“Refinity Holdings”), an affiliate of Dow is expected to own 5.0%, and the remainder of Refinity Holdings is collectively owned by Innventure and Refinity Holdings directors, officers, and employees (28.2%). Refinity Holdings owns 100% of Refinity. Innventure, through Innventure LLC as its subsidiary, owns 37.9%, 52.7% and 71.8% of AeroFlexx, Accelsius and Refinity Holdings, respectively.</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Following the Business Combination, the Class PCTA Units and Class I Units remain outstanding and their holders retain the limited voting rights attendant thereto with respect to matters concerning Class PCTA and Class I business. Innventure otherwise owns all of the membership interests in Innventure LLC.</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accrue management fees for providing investment management services to the ESG Fund. Following the Business Combination, the ESG Fund owns 32.5% of AeroFlexx and 4.3% of Accelsius.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2022 alone, the top 100 companies by research and development (“R&amp;D”) expenditure spent over $700 billion on R&amp;D. Many patents fail to be commercialized for various reasons, including misalignment with core business strategies, lack of commercialization resources, and poor timing in the market. While MNCs excel at developing well-protected technologies for their existing businesses, we believe that many MNCs invent additional technologies with significant potential value that may best be realized by a different approach. Our goal is to collaborate with MNCs to 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Closed Loop Partnership Model</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Benefits to Innventure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91" w:lineRule="exact"/>
        <w:rPr>
          <w:sz w:val="20"/>
          <w:szCs w:val="20"/>
          <w:color w:val="auto"/>
        </w:rPr>
      </w:pPr>
    </w:p>
    <w:p>
      <w:pPr>
        <w:jc w:val="both"/>
        <w:ind w:left="520" w:right="20" w:hanging="260"/>
        <w:spacing w:after="0" w:line="290"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Access Advantage</w:t>
      </w:r>
      <w:r>
        <w:rPr>
          <w:rFonts w:ascii="Times New Roman" w:cs="Times New Roman" w:eastAsia="Times New Roman" w:hAnsi="Times New Roman"/>
          <w:sz w:val="14"/>
          <w:szCs w:val="14"/>
          <w:color w:val="auto"/>
        </w:rPr>
        <w:t>: The relationship with an MNC provides unique access to MNC technologies and/or the information needed to help Innventure evaluate a disruptive technology solution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context of specific unmet market needs. Using both data from the MNC and its own evaluations, Innventure determines if the opportunity should progress to a new Innventure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9" w:name="page10"/>
    <w:bookmarkEnd w:id="9"/>
    <w:p>
      <w:pPr>
        <w:ind w:left="520" w:right="40" w:hanging="260"/>
        <w:spacing w:after="0" w:line="26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Developed Technology Solutions</w:t>
      </w:r>
      <w:r>
        <w:rPr>
          <w:rFonts w:ascii="Times New Roman" w:cs="Times New Roman" w:eastAsia="Times New Roman" w:hAnsi="Times New Roman"/>
          <w:sz w:val="14"/>
          <w:szCs w:val="14"/>
          <w:color w:val="auto"/>
        </w:rPr>
        <w:t>: MNCs invest significant time, money, and technical expertise in developing and protecting innovative technology solutions that satisfy unmet market needs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them and their customers. This all occurs well before Innventure acquires the technology solution. A new Innventure Company that sources the technology solution from an MNC— 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w:t>
      </w:r>
    </w:p>
    <w:p>
      <w:pPr>
        <w:spacing w:after="0" w:line="95"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Institutional Data Set</w:t>
      </w:r>
      <w:r>
        <w:rPr>
          <w:rFonts w:ascii="Times New Roman" w:cs="Times New Roman" w:eastAsia="Times New Roman" w:hAnsi="Times New Roman"/>
          <w:sz w:val="14"/>
          <w:szCs w:val="14"/>
          <w:color w:val="auto"/>
        </w:rPr>
        <w:t>: MNCs also spend significant time and money developing deep, proprietary market knowledge, which is very difficult for a typical new venture to replicate. MNCs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 position to provide Innventure with highly robust data, including market insights and customer testing, to understand unmet market needs and to assess the technology solution and potential business models.</w:t>
      </w:r>
    </w:p>
    <w:p>
      <w:pPr>
        <w:spacing w:after="0" w:line="91" w:lineRule="exact"/>
        <w:rPr>
          <w:rFonts w:ascii="Times New Roman" w:cs="Times New Roman" w:eastAsia="Times New Roman" w:hAnsi="Times New Roman"/>
          <w:sz w:val="14"/>
          <w:szCs w:val="14"/>
          <w:color w:val="auto"/>
        </w:rPr>
      </w:pPr>
    </w:p>
    <w:p>
      <w:pPr>
        <w:ind w:left="520" w:right="60" w:hanging="260"/>
        <w:spacing w:after="0" w:line="262"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Early Customer Adoption</w:t>
      </w:r>
      <w:r>
        <w:rPr>
          <w:rFonts w:ascii="Times New Roman" w:cs="Times New Roman" w:eastAsia="Times New Roman" w:hAnsi="Times New Roman"/>
          <w:sz w:val="14"/>
          <w:szCs w:val="14"/>
          <w:color w:val="auto"/>
        </w:rPr>
        <w:t>: We believe MNCs with which we collaborate will be motivated to catalyze market adoption of a technology solution by becoming early customers and/or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providing channel access to facilitate the initial customer base to drive financial and strategic value. When Innventure sources technology from an entity that is not expected to be a channel partner, it seeks to establish a relationship 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Model Today</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24, 2023, Learn CW Investment Corporation (“Learn CW”) and Innventure LLC entered into a business combination agreement (the “Business Combination Agreement”) with Learn SPAC HoldCo, Inc. (“Holdco”), LCW Merger Sub, Inc., a direct, wholly-owned subsidiary of Holdco (“LCW Merger Sub”) and Innventure Merger Sub, LLC, a direct, wholly-owned subsidiary of Holdco (“Innventure Merger Sub” and, together with LCW Merger Sub, the “Merger Subs”). On September 30, 2024, the stockholders of Learn CW approved the business combination (the “Business Combination”), and the Business Combination closed on October 2, 2024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Business Combination Agreement, among other things, (i) LCW Merger Sub merged with and into Learn CW (the “LCW Merger”), with Learn CW as the surviving company of the LCW Merger and (ii)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0" w:name="page11"/>
    <w:bookmarkEnd w:id="10"/>
    <w:p>
      <w:pPr>
        <w:jc w:val="both"/>
        <w:spacing w:after="0" w:line="270" w:lineRule="auto"/>
        <w:rPr>
          <w:sz w:val="20"/>
          <w:szCs w:val="20"/>
          <w:color w:val="auto"/>
        </w:rPr>
      </w:pPr>
      <w:r>
        <w:rPr>
          <w:rFonts w:ascii="Times New Roman" w:cs="Times New Roman" w:eastAsia="Times New Roman" w:hAnsi="Times New Roman"/>
          <w:sz w:val="14"/>
          <w:szCs w:val="14"/>
          <w:color w:val="auto"/>
        </w:rPr>
        <w:t>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 as a Value Driver</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w:t>
      </w:r>
    </w:p>
    <w:p>
      <w:pPr>
        <w:spacing w:after="0" w:line="101" w:lineRule="exact"/>
        <w:rPr>
          <w:sz w:val="20"/>
          <w:szCs w:val="20"/>
          <w:color w:val="auto"/>
        </w:rPr>
      </w:pPr>
    </w:p>
    <w:p>
      <w:pPr>
        <w:ind w:left="520" w:right="48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PureCycle</w:t>
      </w:r>
      <w:r>
        <w:rPr>
          <w:rFonts w:ascii="Times New Roman" w:cs="Times New Roman" w:eastAsia="Times New Roman" w:hAnsi="Times New Roman"/>
          <w:sz w:val="14"/>
          <w:szCs w:val="14"/>
          <w:color w:val="auto"/>
        </w:rPr>
        <w:t>: Purifies and recycles post-industrial and post-consumer polypropylene waste back to a like virgin grade polymer, usable across a broad range of applications and markets.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PureCycle became a publicly traded company in 2021 and, as of the date of this report, Innventure no longer has an economic interest in PureCycle.</w:t>
      </w:r>
    </w:p>
    <w:p>
      <w:pPr>
        <w:spacing w:after="0" w:line="77"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AeroFlexx</w:t>
      </w:r>
      <w:r>
        <w:rPr>
          <w:rFonts w:ascii="Times New Roman" w:cs="Times New Roman" w:eastAsia="Times New Roman" w:hAnsi="Times New Roman"/>
          <w:sz w:val="14"/>
          <w:szCs w:val="14"/>
          <w:color w:val="auto"/>
        </w:rPr>
        <w:t>: Combines the best attributes of flexible pouches and rigid bottles to provide consumer packaged goods (“CPG”) companies with a novel, curbside recyclable primarily liquid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package that uses up to 85% less virgin plastic than standard rigid bottles,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w:t>
      </w:r>
    </w:p>
    <w:p>
      <w:pPr>
        <w:spacing w:after="0" w:line="95" w:lineRule="exact"/>
        <w:rPr>
          <w:rFonts w:ascii="Times New Roman" w:cs="Times New Roman" w:eastAsia="Times New Roman" w:hAnsi="Times New Roman"/>
          <w:sz w:val="14"/>
          <w:szCs w:val="14"/>
          <w:color w:val="auto"/>
        </w:rPr>
      </w:pPr>
    </w:p>
    <w:p>
      <w:pPr>
        <w:ind w:left="520" w:right="10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Accelsius</w:t>
      </w:r>
      <w:r>
        <w:rPr>
          <w:rFonts w:ascii="Times New Roman" w:cs="Times New Roman" w:eastAsia="Times New Roman" w:hAnsi="Times New Roman"/>
          <w:sz w:val="14"/>
          <w:szCs w:val="14"/>
          <w:color w:val="auto"/>
        </w:rPr>
        <w:t>: Delivers a transformative industry solution to thermal management to central processing units (“CPUs”) and graphics processing units (“GPUs”) in datacenter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delivered customer proof-of-concept pilots in Q2 2024.</w:t>
      </w:r>
    </w:p>
    <w:p>
      <w:pPr>
        <w:spacing w:after="0" w:line="95" w:lineRule="exact"/>
        <w:rPr>
          <w:rFonts w:ascii="Times New Roman" w:cs="Times New Roman" w:eastAsia="Times New Roman" w:hAnsi="Times New Roman"/>
          <w:sz w:val="14"/>
          <w:szCs w:val="14"/>
          <w:color w:val="auto"/>
        </w:rPr>
      </w:pPr>
    </w:p>
    <w:p>
      <w:pPr>
        <w:ind w:left="520" w:right="60" w:hanging="260"/>
        <w:spacing w:after="0" w:line="29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Refinity</w:t>
      </w:r>
      <w:r>
        <w:rPr>
          <w:rFonts w:ascii="Times New Roman" w:cs="Times New Roman" w:eastAsia="Times New Roman" w:hAnsi="Times New Roman"/>
          <w:sz w:val="14"/>
          <w:szCs w:val="14"/>
          <w:color w:val="auto"/>
        </w:rPr>
        <w:t>: Intends to commercialize process technologies for converting low cost, abundant plastic waste to drop-in chemicals directly useful in and consumable by the existing petrochemical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supply chain.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 is committed to long-term sustainability and making the planet a better place to live for all, while simultaneously creating significant enterprise value for our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view our competition through two frameworks: competition to acquire technologies from MNCs and other technology innovators and competition faced by our Operating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Technology Acquirers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1" w:name="page12"/>
    <w:bookmarkEnd w:id="11"/>
    <w:p>
      <w:pPr>
        <w:jc w:val="both"/>
        <w:spacing w:after="0" w:line="287" w:lineRule="auto"/>
        <w:rPr>
          <w:sz w:val="20"/>
          <w:szCs w:val="20"/>
          <w:color w:val="auto"/>
        </w:rPr>
      </w:pPr>
      <w:r>
        <w:rPr>
          <w:rFonts w:ascii="Times New Roman" w:cs="Times New Roman" w:eastAsia="Times New Roman" w:hAnsi="Times New Roman"/>
          <w:sz w:val="14"/>
          <w:szCs w:val="14"/>
          <w:color w:val="auto"/>
        </w:rPr>
        <w:t>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Company Competition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Compensation and Rewards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Workforce Culture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aggregate number of employees employed by us and contractors engaged across Innventure, AeroFlexx, Accelsius and Refinity as of March 14, 2025 was 153.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Accelsius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Accelsius provides a direct-to-chip liquid cooling solution for servers (and other computing devices) in data centers and edge computing locations. Accelsius aims to exploit three powerful industry trends that it believes are converging:</w:t>
      </w:r>
    </w:p>
    <w:p>
      <w:pPr>
        <w:spacing w:after="0" w:line="82" w:lineRule="exact"/>
        <w:rPr>
          <w:sz w:val="20"/>
          <w:szCs w:val="20"/>
          <w:color w:val="auto"/>
        </w:rPr>
      </w:pPr>
    </w:p>
    <w:p>
      <w:pPr>
        <w:ind w:firstLine="5"/>
        <w:spacing w:after="0" w:line="287" w:lineRule="auto"/>
        <w:tabs>
          <w:tab w:leader="none" w:pos="25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exponential predicted increase in the thermal footprint, or thermal design power (“TDP”), of server and GPU chipsets which are now beginning to exceed the capability of the incumbent refrigerated-air cooling systems;</w:t>
      </w:r>
    </w:p>
    <w:p>
      <w:pPr>
        <w:spacing w:after="0" w:line="8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and unpredictable global energy costs; and</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increased level of commitment to environmental sustainability, including from C-suites and corporate management teams.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Reducing data center power usage is a significant opportunity to meet public environmental, social and governance (“ESG”) commitments, but the predicted increase in TDP of future servers will make this extremely challenging.</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3" w:name="page14"/>
    <w:bookmarkEnd w:id="13"/>
    <w:p>
      <w:pPr>
        <w:jc w:val="both"/>
        <w:spacing w:after="0" w:line="264" w:lineRule="auto"/>
        <w:rPr>
          <w:sz w:val="20"/>
          <w:szCs w:val="20"/>
          <w:color w:val="auto"/>
        </w:rPr>
      </w:pPr>
      <w:r>
        <w:rPr>
          <w:rFonts w:ascii="Times New Roman" w:cs="Times New Roman" w:eastAsia="Times New Roman" w:hAnsi="Times New Roman"/>
          <w:sz w:val="14"/>
          <w:szCs w:val="14"/>
          <w:color w:val="auto"/>
        </w:rPr>
        <w:t>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w:t>
      </w:r>
    </w:p>
    <w:p>
      <w:pPr>
        <w:spacing w:after="0" w:line="91" w:lineRule="exact"/>
        <w:rPr>
          <w:sz w:val="20"/>
          <w:szCs w:val="20"/>
          <w:color w:val="auto"/>
        </w:rPr>
      </w:pPr>
    </w:p>
    <w:p>
      <w:pPr>
        <w:ind w:left="520" w:hanging="260"/>
        <w:spacing w:after="0"/>
        <w:tabs>
          <w:tab w:leader="none" w:pos="5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Components</w:t>
      </w:r>
      <w:r>
        <w:rPr>
          <w:rFonts w:ascii="Times New Roman" w:cs="Times New Roman" w:eastAsia="Times New Roman" w:hAnsi="Times New Roman"/>
          <w:sz w:val="14"/>
          <w:szCs w:val="14"/>
          <w:color w:val="auto"/>
        </w:rPr>
        <w:t>: Increased software stack (including AI) require higher performance processors which increase heat dissipation.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Equipment</w:t>
      </w:r>
      <w:r>
        <w:rPr>
          <w:rFonts w:ascii="Times New Roman" w:cs="Times New Roman" w:eastAsia="Times New Roman" w:hAnsi="Times New Roman"/>
          <w:sz w:val="14"/>
          <w:szCs w:val="14"/>
          <w:color w:val="auto"/>
        </w:rPr>
        <w:t>: More powerful servers, routers, switches, cell tower base stations, and other computing equipment require improved system level cooling.</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Systems</w:t>
      </w:r>
      <w:r>
        <w:rPr>
          <w:rFonts w:ascii="Times New Roman" w:cs="Times New Roman" w:eastAsia="Times New Roman" w:hAnsi="Times New Roman"/>
          <w:sz w:val="14"/>
          <w:szCs w:val="14"/>
          <w:color w:val="auto"/>
        </w:rPr>
        <w:t>: Denser racks of equipment are dissipating more heat per unit area.</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Facilities</w:t>
      </w:r>
      <w:r>
        <w:rPr>
          <w:rFonts w:ascii="Times New Roman" w:cs="Times New Roman" w:eastAsia="Times New Roman" w:hAnsi="Times New Roman"/>
          <w:sz w:val="14"/>
          <w:szCs w:val="14"/>
          <w:color w:val="auto"/>
        </w:rPr>
        <w:t>: Heat management capacity of data center and telecom facilities are pushing the limits of current air cooling technologies.</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Growth</w:t>
      </w:r>
      <w:r>
        <w:rPr>
          <w:rFonts w:ascii="Times New Roman" w:cs="Times New Roman" w:eastAsia="Times New Roman" w:hAnsi="Times New Roman"/>
          <w:sz w:val="14"/>
          <w:szCs w:val="14"/>
          <w:color w:val="auto"/>
        </w:rPr>
        <w:t>: There are currently 4.1 GW of new data centers planned.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Sustainability Benefits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80" w:lineRule="exact"/>
        <w:rPr>
          <w:sz w:val="20"/>
          <w:szCs w:val="20"/>
          <w:color w:val="auto"/>
        </w:rPr>
      </w:pPr>
    </w:p>
    <w:p>
      <w:pPr>
        <w:ind w:left="520" w:hanging="260"/>
        <w:spacing w:after="0"/>
        <w:tabs>
          <w:tab w:leader="none" w:pos="5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Total Cost of Ownership Savings</w:t>
      </w:r>
      <w:r>
        <w:rPr>
          <w:rFonts w:ascii="Times New Roman" w:cs="Times New Roman" w:eastAsia="Times New Roman" w:hAnsi="Times New Roman"/>
          <w:sz w:val="14"/>
          <w:szCs w:val="14"/>
          <w:color w:val="auto"/>
        </w:rPr>
        <w:t>: Cooling accounts for approximately 40% of a data center’s energy consumption.</w:t>
      </w:r>
    </w:p>
    <w:p>
      <w:pPr>
        <w:spacing w:after="0" w:line="136" w:lineRule="exact"/>
        <w:rPr>
          <w:rFonts w:ascii="Times New Roman" w:cs="Times New Roman" w:eastAsia="Times New Roman" w:hAnsi="Times New Roman"/>
          <w:sz w:val="14"/>
          <w:szCs w:val="14"/>
          <w:color w:val="auto"/>
        </w:rPr>
      </w:pPr>
    </w:p>
    <w:p>
      <w:pPr>
        <w:ind w:left="520" w:right="200" w:hanging="260"/>
        <w:spacing w:after="0" w:line="290" w:lineRule="auto"/>
        <w:tabs>
          <w:tab w:leader="none" w:pos="516"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Space Savings</w:t>
      </w:r>
      <w:r>
        <w:rPr>
          <w:rFonts w:ascii="Times New Roman" w:cs="Times New Roman" w:eastAsia="Times New Roman" w:hAnsi="Times New Roman"/>
          <w:sz w:val="14"/>
          <w:szCs w:val="14"/>
          <w:color w:val="auto"/>
        </w:rPr>
        <w:t>: Accelsius allows data centers to densify, increasing the number of servers per rack, increasing the number of racks per unit area of data center, and increasing revenue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given data center footprint and reducing costs as less space is used.</w:t>
      </w:r>
    </w:p>
    <w:p>
      <w:pPr>
        <w:spacing w:after="0" w:line="7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Energy Savings</w:t>
      </w:r>
      <w:r>
        <w:rPr>
          <w:rFonts w:ascii="Times New Roman" w:cs="Times New Roman" w:eastAsia="Times New Roman" w:hAnsi="Times New Roman"/>
          <w:sz w:val="14"/>
          <w:szCs w:val="14"/>
          <w:color w:val="auto"/>
        </w:rPr>
        <w:t>: Eliminates air conditioning needs and costs associated with legacy air-cooling systems.</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Water Savings</w:t>
      </w:r>
      <w:r>
        <w:rPr>
          <w:rFonts w:ascii="Times New Roman" w:cs="Times New Roman" w:eastAsia="Times New Roman" w:hAnsi="Times New Roman"/>
          <w:sz w:val="14"/>
          <w:szCs w:val="14"/>
          <w:color w:val="auto"/>
        </w:rPr>
        <w:t>: Potential to eliminate water use in cooling system.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to Clients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Accelsius solution allows clients to align data center operations with sustainability goals and increasingly competitive commercial requirements:</w:t>
      </w:r>
    </w:p>
    <w:p>
      <w:pPr>
        <w:spacing w:after="0" w:line="134" w:lineRule="exact"/>
        <w:rPr>
          <w:sz w:val="20"/>
          <w:szCs w:val="20"/>
          <w:color w:val="auto"/>
        </w:rPr>
      </w:pPr>
    </w:p>
    <w:p>
      <w:pPr>
        <w:ind w:left="520" w:right="18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Enables the adoption of high wattage processors</w:t>
      </w:r>
      <w:r>
        <w:rPr>
          <w:rFonts w:ascii="Times New Roman" w:cs="Times New Roman" w:eastAsia="Times New Roman" w:hAnsi="Times New Roman"/>
          <w:sz w:val="14"/>
          <w:szCs w:val="14"/>
          <w:color w:val="auto"/>
        </w:rPr>
        <w:t>. The American Society of Heating, Refrigerating and Air-Conditioning Engineers has suggested that the exponential increase of CPU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GPU wattages is expected to soon exceed the capacity of most existing air cooling systems.</w:t>
      </w:r>
    </w:p>
    <w:p>
      <w:pPr>
        <w:spacing w:after="0" w:line="77" w:lineRule="exact"/>
        <w:rPr>
          <w:rFonts w:ascii="Times New Roman" w:cs="Times New Roman" w:eastAsia="Times New Roman" w:hAnsi="Times New Roman"/>
          <w:sz w:val="14"/>
          <w:szCs w:val="14"/>
          <w:color w:val="auto"/>
        </w:rPr>
      </w:pPr>
    </w:p>
    <w:p>
      <w:pPr>
        <w:ind w:left="520" w:right="40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Dramatically improves density in the data center</w:t>
      </w:r>
      <w:r>
        <w:rPr>
          <w:rFonts w:ascii="Times New Roman" w:cs="Times New Roman" w:eastAsia="Times New Roman" w:hAnsi="Times New Roman"/>
          <w:sz w:val="14"/>
          <w:szCs w:val="14"/>
          <w:color w:val="auto"/>
        </w:rPr>
        <w:t>. With Accelsius’ technology, air heat syncs are not required, allowing more processing power in each server. Racks no longer must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depopulated to allow air flow, nor are cold and hot aisles needed.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4" w:name="page15"/>
    <w:bookmarkEnd w:id="14"/>
    <w:p>
      <w:pPr>
        <w:ind w:left="520" w:right="6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Allows more power to be allocated to computing rather than coolin</w:t>
      </w:r>
      <w:r>
        <w:rPr>
          <w:rFonts w:ascii="Times New Roman" w:cs="Times New Roman" w:eastAsia="Times New Roman" w:hAnsi="Times New Roman"/>
          <w:sz w:val="14"/>
          <w:szCs w:val="14"/>
          <w:color w:val="auto"/>
        </w:rPr>
        <w:t>g. An average data center allocates around 40% of their power to cooling and other overhead. When power used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cooling is reduced, more incoming power for data centers can be used for computing tasks, and data center capacity can be increased dramatically. We estimate that we can reduce the power allocated to cooling by around 49%.</w:t>
      </w:r>
    </w:p>
    <w:p>
      <w:pPr>
        <w:spacing w:after="0" w:line="91" w:lineRule="exact"/>
        <w:rPr>
          <w:rFonts w:ascii="Times New Roman" w:cs="Times New Roman" w:eastAsia="Times New Roman" w:hAnsi="Times New Roman"/>
          <w:sz w:val="14"/>
          <w:szCs w:val="14"/>
          <w:color w:val="auto"/>
        </w:rPr>
      </w:pPr>
    </w:p>
    <w:p>
      <w:pPr>
        <w:ind w:left="520" w:right="6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Is compatible with legacy infrastructure. </w:t>
      </w:r>
      <w:r>
        <w:rPr>
          <w:rFonts w:ascii="Times New Roman" w:cs="Times New Roman" w:eastAsia="Times New Roman" w:hAnsi="Times New Roman"/>
          <w:sz w:val="14"/>
          <w:szCs w:val="14"/>
          <w:color w:val="auto"/>
        </w:rPr>
        <w:t>Although new data center builds will prioritize liquid cooling, brownfield sites are still actively introducing AI / machine learning (“ML”)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dense workloads. Accelsius technology can fit in a standard rack and connect to existing facility water loops.</w:t>
      </w:r>
    </w:p>
    <w:p>
      <w:pPr>
        <w:spacing w:after="0" w:line="77"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Heat removal head room</w:t>
      </w:r>
      <w:r>
        <w:rPr>
          <w:rFonts w:ascii="Times New Roman" w:cs="Times New Roman" w:eastAsia="Times New Roman" w:hAnsi="Times New Roman"/>
          <w:sz w:val="14"/>
          <w:szCs w:val="14"/>
          <w:color w:val="auto"/>
        </w:rPr>
        <w:t>. We believe Accelsius technology will be designed to support not just this generation of processors, but many more to come. Standard CPU power consumption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History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 May 27, 2022,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Status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Accelsius is an early-stage company that has recently begun revenue-generating operations, including initial shipments of product. Accelsius has been focused on developing and commercializing data center cooling 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Current manufacturing assets and supply chain infrastructure are anticipated to support market demand through mid- to late-2025, and additional capacity expansions and/or collaboration with selected contract manufacturers will be staged to meet customer needs as demand is expected to grow in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Landscape and Growth Strategy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and GPUs and will be common across all kits; other components will be customized to match specific server designs for each partner.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liquid cooling solution that Accelsius offers is well positioned compared to many other liquid cooling solutions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Accelsius’ two phase direct-to-chip liquid cooling technology is an effective alternative to the limitations posed by other liquid cooling technologies. We summarize below some of the operational issues faced by competitive liquid cooling technologies based on that user feedback: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Single-Phase Immersion:</w:t>
      </w:r>
    </w:p>
    <w:p>
      <w:pPr>
        <w:spacing w:after="0" w:line="136"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Expensive (~$100,000 per tank) and with limited thermal headroom (&lt; 50 KW);</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Requires modification (re-layout) of server internals for liquid flow and server warranty is usually void;</w:t>
      </w:r>
    </w:p>
    <w:p>
      <w:pPr>
        <w:spacing w:after="0" w:line="136"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Servicing requires removal of servers from sealed liquid cooling baths and is time consuming and expensive;</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Forklift upgrade of existing rack infrastructure and inefficient use of real estate; and</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LiquidStack, Green Revolution Cooling, and TMGCore.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Two-Phase Immersion: In addition to the issues outlined above, two-phase immersion is also:</w:t>
      </w:r>
    </w:p>
    <w:p>
      <w:pPr>
        <w:spacing w:after="0" w:line="136"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Very expensive (~$175,000 per tank);</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Vapor can get trapped in the servers causing localized hot spots;</w:t>
      </w:r>
    </w:p>
    <w:p>
      <w:pPr>
        <w:spacing w:after="0" w:line="136"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Very few pilot implementations are expanded on because “no one wants tanks full of perfluoroalkyl and polyfluoroalkyl substances coolant in the data center;” and</w:t>
      </w:r>
    </w:p>
    <w:p>
      <w:pPr>
        <w:spacing w:after="0" w:line="13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LiquidStack, TMGCore and Submer.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Single-Phase Direct-to-Chip (e.g., water):</w:t>
      </w:r>
    </w:p>
    <w:p>
      <w:pPr>
        <w:spacing w:after="0" w:line="136" w:lineRule="exact"/>
        <w:rPr>
          <w:sz w:val="20"/>
          <w:szCs w:val="20"/>
          <w:color w:val="auto"/>
        </w:rPr>
      </w:pPr>
    </w:p>
    <w:p>
      <w:pPr>
        <w:ind w:left="520" w:right="40" w:hanging="260"/>
        <w:spacing w:after="0" w:line="287" w:lineRule="auto"/>
        <w:tabs>
          <w:tab w:leader="none" w:pos="516"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leaks that can cause catastrophic failure in servers and are the most significant risk. Users state that water leaks around electronic components have occurred and destroyed the servers: “Not a question of ‘if’ it will leak, but ‘when’ it will leak”;</w:t>
      </w:r>
    </w:p>
    <w:p>
      <w:pPr>
        <w:spacing w:after="0" w:line="81"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Bio-fouling (biofilm build up) within pipes and cold plates is a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color w:val="auto"/>
        </w:rPr>
        <w:t>•   Cooling higher thermal densities requires large pumps and high pressure/flow rate of water (increasing chance of leaks &amp; electricity use); and</w:t>
      </w:r>
    </w:p>
    <w:p>
      <w:pPr>
        <w:spacing w:after="0" w:line="136"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Leading competitors include CoolIT Systems and STULZ.</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AeroFlexx and Refinity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 recycled content and can be curbside recyclable where all plastic bottles are accepted</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Prior to filling, the package is shipped in a freight efficient flat pak format that reduces supply chain cost and complexity.</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end of the second quarter of 2025.</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77863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53" w:lineRule="exact"/>
        <w:rPr>
          <w:sz w:val="20"/>
          <w:szCs w:val="20"/>
          <w:color w:val="auto"/>
        </w:rPr>
      </w:pPr>
    </w:p>
    <w:p>
      <w:pPr>
        <w:ind w:left="80" w:hanging="75"/>
        <w:spacing w:after="0"/>
        <w:tabs>
          <w:tab w:leader="none" w:pos="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 recyclable in all communities. Check locally.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the yields that Refinity believes its fluidized bed process will convert plastic waste to drop-in chemicals, 240 million tonnes per year of plastic waste could be converted to hydrocarbon liquids and olefin gases valued at $150-200 billion annually. Further, with increasing consumer demand for more sustainable packaging; regulatory focus on restricting plastic waste exports, landfill, and incineration; and minimum recycled plastic content requirements, all of which could enable premiums for sustainable plastics (including sustainable feedstocks, such as naphtha or light olefins, for polymer and plastic production), the market for plastic recycling is strengthening. The 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Sustainability Benefits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w:t>
      </w:r>
    </w:p>
    <w:p>
      <w:pPr>
        <w:spacing w:after="0" w:line="14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Package Circularity</w:t>
      </w:r>
      <w:r>
        <w:rPr>
          <w:rFonts w:ascii="Times New Roman" w:cs="Times New Roman" w:eastAsia="Times New Roman" w:hAnsi="Times New Roman"/>
          <w:sz w:val="14"/>
          <w:szCs w:val="14"/>
          <w:color w:val="auto"/>
        </w:rPr>
        <w:t>: AeroFlexx packaging can incorporate up to 50% recycled content without compromise.</w:t>
      </w:r>
    </w:p>
    <w:p>
      <w:pPr>
        <w:spacing w:after="0" w:line="136" w:lineRule="exact"/>
        <w:rPr>
          <w:rFonts w:ascii="Times New Roman" w:cs="Times New Roman" w:eastAsia="Times New Roman" w:hAnsi="Times New Roman"/>
          <w:sz w:val="14"/>
          <w:szCs w:val="14"/>
          <w:color w:val="auto"/>
        </w:rPr>
      </w:pPr>
    </w:p>
    <w:p>
      <w:pPr>
        <w:ind w:left="520" w:right="12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Life Cycle Analysis</w:t>
      </w:r>
      <w:r>
        <w:rPr>
          <w:rFonts w:ascii="Times New Roman" w:cs="Times New Roman" w:eastAsia="Times New Roman" w:hAnsi="Times New Roman"/>
          <w:sz w:val="14"/>
          <w:szCs w:val="14"/>
          <w:color w:val="auto"/>
        </w:rPr>
        <w:t>: By considering source reduction, recycled content, recyclability and eliminating excess packaging material in e-commerce, AeroFlexx can deliver up to 83% less waste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landfills, 69% greenhouse gas (“GHG”) reduction, and 73% less water use.</w:t>
      </w:r>
    </w:p>
    <w:p>
      <w:pPr>
        <w:spacing w:after="0" w:line="77" w:lineRule="exact"/>
        <w:rPr>
          <w:rFonts w:ascii="Times New Roman" w:cs="Times New Roman" w:eastAsia="Times New Roman" w:hAnsi="Times New Roman"/>
          <w:sz w:val="14"/>
          <w:szCs w:val="14"/>
          <w:color w:val="auto"/>
        </w:rPr>
      </w:pPr>
    </w:p>
    <w:p>
      <w:pPr>
        <w:ind w:left="520" w:right="660" w:hanging="260"/>
        <w:spacing w:after="0" w:line="290"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 Sustainable Goals Alignment</w:t>
      </w:r>
      <w:r>
        <w:rPr>
          <w:rFonts w:ascii="Times New Roman" w:cs="Times New Roman" w:eastAsia="Times New Roman" w:hAnsi="Times New Roman"/>
          <w:sz w:val="14"/>
          <w:szCs w:val="14"/>
          <w:color w:val="auto"/>
        </w:rPr>
        <w:t>: AeroFlexx can contribute to meeting several of the sustainable development goals (“SDGs”) outlined by the United Nations, including industry,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innovation, and infrastructure; responsible consumption and production; climate action; and life below water.</w:t>
      </w:r>
    </w:p>
    <w:p>
      <w:pPr>
        <w:spacing w:after="0" w:line="77"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GHG emissions reduction relative to plastic waste incineration or pyrolysis</w:t>
      </w:r>
      <w:r>
        <w:rPr>
          <w:rFonts w:ascii="Times New Roman" w:cs="Times New Roman" w:eastAsia="Times New Roman" w:hAnsi="Times New Roman"/>
          <w:sz w:val="14"/>
          <w:szCs w:val="14"/>
          <w:color w:val="auto"/>
        </w:rPr>
        <w:t>: Internal LCA analysis indicated about -400 kg CO2-eq/tonne plastic waste for the Refinity fluidized bed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conversion process compared to 1777 kg CO2-eq/tonne plastic waste for incineration and 739 kg CO2-eq/tonne plastic waste for pyrolysis, so Refinity believes that its process will reduce GHG emissions.</w:t>
      </w:r>
    </w:p>
    <w:p>
      <w:pPr>
        <w:spacing w:after="0" w:line="91"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Fossil source reduction</w:t>
      </w:r>
      <w:r>
        <w:rPr>
          <w:rFonts w:ascii="Times New Roman" w:cs="Times New Roman" w:eastAsia="Times New Roman" w:hAnsi="Times New Roman"/>
          <w:sz w:val="14"/>
          <w:szCs w:val="14"/>
          <w:color w:val="auto"/>
        </w:rPr>
        <w:t>: If all plastic waste from landfill and incineration (240 million tonnes per year) were converted to hydrocarbon liquids (e.g., naphtha substitute) at yields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what Refinity believes are possible in the fluidized bed process, those hydrocarbon liquids could replace up to 80% of fossil naphtha; saving roughly 96 million tonnes per year of CO2-eq emissions.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to Clients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AeroFlexx can help drive growth and overall profitability through significant supply chain savings. This is accomplished through several supply chain benefits of the AeroFlexx pak: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8" w:name="page19"/>
    <w:bookmarkEnd w:id="18"/>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Reduces Complexity of Sourcing</w:t>
      </w:r>
      <w:r>
        <w:rPr>
          <w:rFonts w:ascii="Times New Roman" w:cs="Times New Roman" w:eastAsia="Times New Roman" w:hAnsi="Times New Roman"/>
          <w:sz w:val="14"/>
          <w:szCs w:val="14"/>
          <w:color w:val="auto"/>
        </w:rPr>
        <w:t>: AeroFlexx ships as a flat pak and replaces the bottle, cap and label that customers must procure from multiple sources and destinations.</w:t>
      </w:r>
    </w:p>
    <w:p>
      <w:pPr>
        <w:spacing w:after="0" w:line="136" w:lineRule="exact"/>
        <w:rPr>
          <w:rFonts w:ascii="Times New Roman" w:cs="Times New Roman" w:eastAsia="Times New Roman" w:hAnsi="Times New Roman"/>
          <w:sz w:val="14"/>
          <w:szCs w:val="14"/>
          <w:color w:val="auto"/>
        </w:rPr>
      </w:pPr>
    </w:p>
    <w:p>
      <w:pPr>
        <w:ind w:left="520" w:right="6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Reduced Transportation Cost and Footprint</w:t>
      </w:r>
      <w:r>
        <w:rPr>
          <w:rFonts w:ascii="Times New Roman" w:cs="Times New Roman" w:eastAsia="Times New Roman" w:hAnsi="Times New Roman"/>
          <w:sz w:val="14"/>
          <w:szCs w:val="14"/>
          <w:color w:val="auto"/>
        </w:rPr>
        <w:t>: prior to filling the package, shipping as a flat pak creates a form factor that takes up less than 10% of the space in shipping of an equivalent pre-formed empty rigid bottle, in addition to eliminating the need for cap and label supply chains. This reduces cost and environmental footprint by taking trucks off the road.</w:t>
      </w:r>
    </w:p>
    <w:p>
      <w:pPr>
        <w:spacing w:after="0" w:line="77" w:lineRule="exact"/>
        <w:rPr>
          <w:rFonts w:ascii="Times New Roman" w:cs="Times New Roman" w:eastAsia="Times New Roman" w:hAnsi="Times New Roman"/>
          <w:sz w:val="14"/>
          <w:szCs w:val="14"/>
          <w:color w:val="auto"/>
        </w:rPr>
      </w:pPr>
    </w:p>
    <w:p>
      <w:pPr>
        <w:ind w:left="520" w:right="10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Lowers Warehouse Requirements and Inventory Cost</w:t>
      </w:r>
      <w:r>
        <w:rPr>
          <w:rFonts w:ascii="Times New Roman" w:cs="Times New Roman" w:eastAsia="Times New Roman" w:hAnsi="Times New Roman"/>
          <w:sz w:val="14"/>
          <w:szCs w:val="14"/>
          <w:color w:val="auto"/>
        </w:rPr>
        <w:t>: with the AeroFlexx flat pak replacing pre-formed empty bottles, caps and labels, there is an overall reduction in the need for inventory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space and overall cost associated with labor and working capital.</w:t>
      </w:r>
    </w:p>
    <w:p>
      <w:pPr>
        <w:spacing w:after="0" w:line="77" w:lineRule="exact"/>
        <w:rPr>
          <w:rFonts w:ascii="Times New Roman" w:cs="Times New Roman" w:eastAsia="Times New Roman" w:hAnsi="Times New Roman"/>
          <w:sz w:val="14"/>
          <w:szCs w:val="14"/>
          <w:color w:val="auto"/>
        </w:rPr>
      </w:pPr>
    </w:p>
    <w:p>
      <w:pPr>
        <w:ind w:left="520" w:right="36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ISTA-6 Amazon Approved</w:t>
      </w:r>
      <w:r>
        <w:rPr>
          <w:rFonts w:ascii="Times New Roman" w:cs="Times New Roman" w:eastAsia="Times New Roman" w:hAnsi="Times New Roman"/>
          <w:sz w:val="14"/>
          <w:szCs w:val="14"/>
          <w:color w:val="auto"/>
        </w:rPr>
        <w:t>: for shipping liquids via the e-commerce channel, reductions in damages from breakage, leakage and handling can generate significant savings through lower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returns or refund rates and reduced overall package and labor costs.</w:t>
      </w:r>
    </w:p>
    <w:p>
      <w:pPr>
        <w:spacing w:after="0" w:line="77" w:lineRule="exact"/>
        <w:rPr>
          <w:rFonts w:ascii="Times New Roman" w:cs="Times New Roman" w:eastAsia="Times New Roman" w:hAnsi="Times New Roman"/>
          <w:sz w:val="14"/>
          <w:szCs w:val="14"/>
          <w:color w:val="auto"/>
        </w:rPr>
      </w:pPr>
    </w:p>
    <w:p>
      <w:pPr>
        <w:ind w:left="520" w:right="60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Omni-Channel Ready</w:t>
      </w:r>
      <w:r>
        <w:rPr>
          <w:rFonts w:ascii="Times New Roman" w:cs="Times New Roman" w:eastAsia="Times New Roman" w:hAnsi="Times New Roman"/>
          <w:sz w:val="14"/>
          <w:szCs w:val="14"/>
          <w:color w:val="auto"/>
        </w:rPr>
        <w:t>: the pak is omni-channel ready as soon as it is filled with liquid product from the AeroFlexx filling machine, which we expect to eliminate stock keeping unit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proliferation based on desired sales distribution channel.</w:t>
      </w:r>
    </w:p>
    <w:p>
      <w:pPr>
        <w:spacing w:after="0" w:line="7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New Size/Shape Development Efficiency</w:t>
      </w:r>
      <w:r>
        <w:rPr>
          <w:rFonts w:ascii="Times New Roman" w:cs="Times New Roman" w:eastAsia="Times New Roman" w:hAnsi="Times New Roman"/>
          <w:sz w:val="14"/>
          <w:szCs w:val="14"/>
          <w:color w:val="auto"/>
        </w:rPr>
        <w:t>: flexible manufacturing eliminates the need for capital intensive molds and tooling costs, which may enable rapid adoption at a much lower cost.</w:t>
      </w:r>
    </w:p>
    <w:p>
      <w:pPr>
        <w:spacing w:after="0" w:line="136" w:lineRule="exact"/>
        <w:rPr>
          <w:rFonts w:ascii="Times New Roman" w:cs="Times New Roman" w:eastAsia="Times New Roman" w:hAnsi="Times New Roman"/>
          <w:sz w:val="14"/>
          <w:szCs w:val="14"/>
          <w:color w:val="auto"/>
        </w:rPr>
      </w:pPr>
    </w:p>
    <w:p>
      <w:pPr>
        <w:ind w:left="520" w:right="340" w:hanging="260"/>
        <w:spacing w:after="0" w:line="29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Product Safety</w:t>
      </w:r>
      <w:r>
        <w:rPr>
          <w:rFonts w:ascii="Times New Roman" w:cs="Times New Roman" w:eastAsia="Times New Roman" w:hAnsi="Times New Roman"/>
          <w:sz w:val="14"/>
          <w:szCs w:val="14"/>
          <w:color w:val="auto"/>
        </w:rPr>
        <w:t>: designed with hygiene in mind with tamper proof packaging that eliminates the use of a discrete closure with AeroFlexx proprietary integrated valve (e.g., no need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separate cap, pump or package sealing and dispensing device) to help keep products safe and prevent product losses.</w:t>
      </w:r>
    </w:p>
    <w:p>
      <w:pPr>
        <w:spacing w:after="0" w:line="8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Currently, the limitations for Refinity’s clients to fully embrace and scale plastic circularity is economic viability and plastic waste sourcing. Refinity believes that its fluidized bed process provides unique benefits that:</w:t>
      </w:r>
    </w:p>
    <w:p>
      <w:pPr>
        <w:spacing w:after="0" w:line="80" w:lineRule="exact"/>
        <w:rPr>
          <w:sz w:val="20"/>
          <w:szCs w:val="20"/>
          <w:color w:val="auto"/>
        </w:rPr>
      </w:pPr>
    </w:p>
    <w:p>
      <w:pPr>
        <w:ind w:left="520" w:right="80" w:hanging="260"/>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 higher yield conversion of plastic waste to olefin gases and hydrocarbon liquids</w:t>
      </w:r>
      <w:r>
        <w:rPr>
          <w:rFonts w:ascii="Times New Roman" w:cs="Times New Roman" w:eastAsia="Times New Roman" w:hAnsi="Times New Roman"/>
          <w:sz w:val="14"/>
          <w:szCs w:val="14"/>
          <w:color w:val="auto"/>
        </w:rPr>
        <w:t>. VTT has demonstrated that the fluidized bed process converts plastic waste to olefin gases at higher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yield than conventional pyrolysis processes, potentially enabling two to three times higher productivity when the fluidized bed process feeds olefin gases directly to petrochemical steam cracker operations.</w:t>
      </w:r>
    </w:p>
    <w:p>
      <w:pPr>
        <w:spacing w:after="0" w:line="91" w:lineRule="exact"/>
        <w:rPr>
          <w:rFonts w:ascii="Times New Roman" w:cs="Times New Roman" w:eastAsia="Times New Roman" w:hAnsi="Times New Roman"/>
          <w:sz w:val="14"/>
          <w:szCs w:val="14"/>
          <w:color w:val="auto"/>
        </w:rPr>
      </w:pPr>
    </w:p>
    <w:p>
      <w:pPr>
        <w:ind w:left="520" w:right="20" w:hanging="260"/>
        <w:spacing w:after="0" w:line="29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Allow use of low cost, mixed plastic wastes</w:t>
      </w:r>
      <w:r>
        <w:rPr>
          <w:rFonts w:ascii="Times New Roman" w:cs="Times New Roman" w:eastAsia="Times New Roman" w:hAnsi="Times New Roman"/>
          <w:sz w:val="14"/>
          <w:szCs w:val="14"/>
          <w:color w:val="auto"/>
        </w:rPr>
        <w:t>. Unlike incumbent recycling processes which typically require more sorting and pre-cleaning of plastic wastes, Refinity believes that the fluidized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bed process will be more robust to minimally-sorted, mixed plastic waste streams.</w:t>
      </w:r>
    </w:p>
    <w:p>
      <w:pPr>
        <w:spacing w:after="0" w:line="77"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Enable plant site flexibility</w:t>
      </w:r>
      <w:r>
        <w:rPr>
          <w:rFonts w:ascii="Times New Roman" w:cs="Times New Roman" w:eastAsia="Times New Roman" w:hAnsi="Times New Roman"/>
          <w:sz w:val="14"/>
          <w:szCs w:val="14"/>
          <w:color w:val="auto"/>
        </w:rPr>
        <w:t>. We believe that the Refinity fluidized bed operating conditions can be tuned to allow for production of either olefin (ethylene and propylene) gases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History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4"/>
          <w:szCs w:val="14"/>
          <w:color w:val="auto"/>
        </w:rPr>
        <w:t>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Status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late 2023, AeroFlexx installed and commissioned its second converter, and the first to utilize recyclable film, in West Chester, Ohio. AeroFlexx’s next converter has been installed and is expected to be fully commissioned by the end of the second quarter of 2025.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mid-2025, with additional capacity expansions being staged to meet customer needs as offtake agreements and customer traction warrants.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Refinity is an early-stage company that is just beginning operations. In the first quarter of 2025, Refinity is building internal staff and developing capabilities to commercialize the fluidized bed technology licensed from VTT. Refinity is advancing its plastic waste sourcing strategy and has commissioned experimental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2025. Refinity is working both independently and with Dow to identify candidate sites for first commercial demonstration plant and is engaging Engineering, Procurement, and Construction (EPC) firms to begin design work for the first plant.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Landscape and Growth Strategy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Refinity will sell drop-in liquid and gas phase chemicals to petrochemical company customers, including Dow. Other prospective customers include multinationals such as BASF, CP Chem, SABIC, LyondellBasell, and Shell.To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Mura/Licella, Eastman Chemical, and ExxonMobil use thermochemical conversion processes to convert plastic waste to hydrocarbon liquids.</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 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w:t>
      </w:r>
    </w:p>
    <w:p>
      <w:pPr>
        <w:spacing w:after="0" w:line="98"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Refinity is in the process of developing a comprehensive IP strategy that will build upon the portfolio of advanced recycling of mixed plastic waste patents and patent applications exclusively licensed from VTT.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You should carefully consider the following risk factors, together with all of the other information included in this Form 10-K. The market price of the Company’s common stock, par value $0.0001 per share (“Common Stock”) could decline due to any of these risks, in which case you could lose all or part of your investment. In assessing these risks, you should also refer to the other information included in this Form 10-K, including the consolidated financial statements and notes thereto and the section entitled “Management’s Discussion and Analysis of Financial Condition and Results of Operations.” The Company’s business, financial condition or results of operations could be affected materially and adversely by any of the risks discussed below. We cannot assure you that any of the events discussed below will not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subject to a number of risks and uncertainties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Some of these principal risks include the following:</w:t>
      </w:r>
    </w:p>
    <w:p>
      <w:pPr>
        <w:spacing w:after="0" w:line="382"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not be able to obtain additional financing to fund the operations and growth of the business.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uncertainty regarding Innventure’s ability to maintain liquidity sufficient to operate its business effectively, which raises substantial doubt about its ability to continue as a going concern.</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principal revenues are expected to be earned in the future through its Operating Companies, including through AeroFlexx, Accelsius and Refinity, and Innventure depends on its Operating Companies for cash.</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not be successful in finding future opportunities to license or acquire breakthrough technology solutions from Technology Solutions Providers.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Innventure Companies are currently early commercial stage companies that may never achieve or sustain profitability.</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WTI Facility may impair Innventure LLC’s, Innventure’s and the Operating Companies’ financial and operating flexibility.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possible to predict the extent to which Innventure will, intends to, or may rely on Yorkville and the SEPA and the Convertible Debentures as a source of funding.</w:t>
      </w:r>
    </w:p>
    <w:p>
      <w:pPr>
        <w:spacing w:after="0" w:line="189"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possible to predict the actual number of shares Innventure will sell under the SEPA or under the Convertible Debentures to Yorkville, or the actual gross proceeds resulting from those sales.</w:t>
      </w:r>
    </w:p>
    <w:p>
      <w:pPr>
        <w:spacing w:after="0" w:line="156"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is likely to be highly volatile, and you may lose some or all of your investment.</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Innventure’s share price could subject Innventure to securities class action litigation.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shares of our Common Stock or other equity may depress its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2" w:name="page23"/>
    <w:bookmarkEnd w:id="22"/>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14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offerings of debt or offerings or issuances of equity securities by the Innventure may adversely affect the market price of the Common Stock or otherwise dilute all other stockholders.</w:t>
      </w:r>
    </w:p>
    <w:p>
      <w:pPr>
        <w:spacing w:after="0" w:line="189"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3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4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4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AFX, Accelsius and Refinity are early-stage companies, and their limited operating histories makes it difficult to evaluate their future prospects and the risks and challenges they may encounter.</w:t>
      </w:r>
    </w:p>
    <w:p>
      <w:pPr>
        <w:spacing w:after="0" w:line="14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Accelsius’ cooling products may be subject to increased regulatory scrutiny due to their use of working fluid refrigerants that contain fluorine.</w:t>
      </w:r>
    </w:p>
    <w:p>
      <w:pPr>
        <w:spacing w:after="0" w:line="189"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including customers and potential investors, may be skeptical of the viability and benefits of Accelsius’ cooling products and Refinity’s plastic waste recycling process because they are based on relatively novel and complex technology.</w:t>
      </w:r>
    </w:p>
    <w:p>
      <w:pPr>
        <w:spacing w:after="0" w:line="14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45" w:lineRule="exact"/>
        <w:rPr>
          <w:rFonts w:ascii="Times New Roman" w:cs="Times New Roman" w:eastAsia="Times New Roman" w:hAnsi="Times New Roman"/>
          <w:sz w:val="14"/>
          <w:szCs w:val="14"/>
          <w:color w:val="auto"/>
        </w:rPr>
      </w:pPr>
    </w:p>
    <w:p>
      <w:pPr>
        <w:ind w:left="260" w:hanging="260"/>
        <w:spacing w:after="0" w:line="271"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35"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may be unable to sufficiently protect the IP rights of itself and the Innventure Companies and may encounter disputes from time to time relating to its use of the IP of third parties.</w:t>
      </w:r>
    </w:p>
    <w:p>
      <w:pPr>
        <w:spacing w:after="0" w:line="189" w:lineRule="exact"/>
        <w:rPr>
          <w:rFonts w:ascii="Times New Roman" w:cs="Times New Roman" w:eastAsia="Times New Roman" w:hAnsi="Times New Roman"/>
          <w:sz w:val="14"/>
          <w:szCs w:val="14"/>
          <w:color w:val="auto"/>
        </w:rPr>
      </w:pPr>
    </w:p>
    <w:p>
      <w:pPr>
        <w:jc w:val="both"/>
        <w:ind w:left="260" w:hanging="260"/>
        <w:spacing w:after="0" w:line="254" w:lineRule="auto"/>
        <w:tabs>
          <w:tab w:leader="none" w:pos="2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57"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or foreign trade policies, including additional tariffs or global trade conflicts, may adversely impact our business and operating results.</w:t>
      </w:r>
    </w:p>
    <w:p>
      <w:pPr>
        <w:spacing w:after="0" w:line="189"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or a failure in Innventure’s information technology and data security infrastructure could adversely affect Innventure’s business and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163830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302" w:right="319" w:bottom="1440" w:gutter="0" w:footer="0" w:header="0"/>
        </w:sectPr>
      </w:pPr>
    </w:p>
    <w:bookmarkStart w:id="23" w:name="page24"/>
    <w:bookmarkEnd w:id="23"/>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Innventure’s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may not be able to obtain additional financing to fund the operations and growth of the business.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3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w:t>
      </w:r>
    </w:p>
    <w:p>
      <w:pPr>
        <w:spacing w:after="0" w:line="16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Innventure’s principal revenues are expected to be earned in the future through its Operating Companies, including through AeroFlexx, Accelsius and Refinity, and Innventure depends on its Operating Companies for cash.</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4" w:name="page25"/>
    <w:bookmarkEnd w:id="24"/>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Innventure’s business model is to launch Operating Companies, which are not guaranteed to succeed and could be very costly.</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may not be successful in finding future opportunities to license or acquire breakthrough technology solutions from Technology Solutions Providers.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Innventure Companies are currently early commercial stage companies that may never achieve or sustain profitability.</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16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Under the terms of Innventure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The WTI Facility may impair Innventure LLC’s, the Company’s and the Operating Companies’ financial and operating flexibility.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WTI Facility provides for a term loan facility in an aggregate principal amount of up to $50 million, of which (i) the First Tranche (as defined below) was made available after October 22, 2024 and through November 15, 2024; (ii) the Second Tranche (as defined below) was made available after November 1, 2024 and through November 30, 2024; and (iii) the Third Tranche (as defined below) was made available after December 31, 2024 and through January 31, 2025 (provided that up to $7.5 million of the Third Tranche will be made available until March 31, 2025).</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WTI Fund X, Inc.’s and WTI Fund XI, Inc.’s (collectively, the “WTI Lenders”) satisfaction with the Company’s forward-looking plan at such time. As of the date of this report, the funds under each of the Second Tranche and the Third Tranche are no longer available to Innventure.</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extent to which the Company will, intends to, or may rely on Yorkville and the SEPA and the Convertible Debentures as a source of funding.</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As of February 28, 2025, Innventure has drawn $2.67 million under the SEPA. Subject to the terms and conditions of the SEPA, Innventure may, at its discretion, issue and sell to Yorkville up to $75.0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extent to which Innventure will rely on Yorkville as a source of funding will depend on a number of factors, including the prevailing market price of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extent to which Innventure will rely on the Convertible Debentures to be issued to Yorkville pursuant to the Securities Purchase Agreement (as defined below) as a source of funding will depend on certain conditions, restrictions, and limitations set forth therein, which could impact the aggregate principal amount of Convertible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Debentures issued by Innventure and purchased by Yorkville, whether the Convertible Debentures will bear interest, and the portion of Convertible Debentures that is convertible into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Innventure will sell under the SEPA or the Convertible Debentures to Yorkville, or the actual gross proceeds resulting from those sales.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applicable to the Convertible Debentures will be adjusted on the six-month anniversary of the First Closing Date (as defined below) and the nine-month anniversary of the First Closing Date, and, accordingly, it is not currently possible to predict how many shares will be sold in total under the Convertible Debentures.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As of February 28, 2025, Innventure has drawn $2.67 million under the SEPA. Moreover, although the SEPA provides that Innventure may sell up to an aggregate of $75.0 million of its Common Stock to Yorkville, Innventure registered the resale by Yorkville of up to 4,418,307 shares of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of 1933, as amended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Any issuance and sale by Innventure under the SEPA or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the Convertible Debentures.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R&amp;D,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 may end at any point in time. In addition, all of Innventure and the Innventure Companies’ employees are at will, which means that either they or the employee may terminate their employment at any time.</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4"/>
          <w:szCs w:val="14"/>
          <w:color w:val="auto"/>
        </w:rPr>
        <w:t>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155"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Innventure Companies’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Innventure Companies are early-stage companies, and their limited operating history makes it difficult to evaluate their future prospects and the risks and challenges they may encounter.</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w:t>
      </w:r>
    </w:p>
    <w:p>
      <w:pPr>
        <w:spacing w:after="0" w:line="146"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their products and processes;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and deliver products and processes of acceptable performance that function as anticipated;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sales revenue;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their revenue and budget for and manage their expenses;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commercial relationships;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successfully in the industry in which they operate;</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their current and future products and manage their supply chain and supplier relationships related to their current and future products;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quickly enough due to capital and other resource constraints;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find, contract with, and retain reliable and commercially reasonable materials, components, manufacturers and inventory vendors;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their business in and outside the United States, including compliance requirements of U.S. customs and export regulations;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they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8" w:name="page29"/>
    <w:bookmarkEnd w:id="28"/>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regulatory and/or environmental policies that impact the Innventure Companies’ plant operations;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their reputation and brand;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IP;</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their organizations;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themselves in any legal proceeding that may arise and enforce their rights in any legal proceedings they may initiate; and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Accelsius’ cooling products may be subject to increased regulatory scrutiny due to their use of working fluid refrigerants that contain fluorine.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market, including customers and potential investors, may be skeptical of the viability and benefits of Accelsius’ and Refinity’s products and processes because they are based on relatively novel and complex technology.</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w:t>
      </w:r>
    </w:p>
    <w:p>
      <w:pPr>
        <w:spacing w:after="0" w:line="162"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AFX is early in the development of its commercial production capacity and has not yet fully diversified suppliers for critical raw materials, specifically its film.</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second quarter of 2025.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16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14"/>
          <w:szCs w:val="14"/>
          <w:i w:val="1"/>
          <w:iCs w:val="1"/>
          <w:color w:val="auto"/>
        </w:rPr>
        <w:t>Guidance for Industry - Use of Recycled Plastics in Food Packaging: Chemistry Considerations (August 2006)</w:t>
      </w:r>
      <w:r>
        <w:rPr>
          <w:rFonts w:ascii="Times New Roman" w:cs="Times New Roman" w:eastAsia="Times New Roman" w:hAnsi="Times New Roman"/>
          <w:sz w:val="14"/>
          <w:szCs w:val="14"/>
          <w:color w:val="auto"/>
        </w:rPr>
        <w:t>.” In order for AFX’s products to be used in food grade applications, AFX will be required to partner with customers or third-party co-manufacturers that possess the required food certifications to do the filling of AFX’s package.</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various regulatory schemes applicable to AFX’s products will continue to apply following initial approval. Monitoring regulatory changes and our ongoing compliance with applicable requirements is time-consuming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0" w:name="page31"/>
    <w:bookmarkEnd w:id="30"/>
    <w:p>
      <w:pPr>
        <w:spacing w:after="0" w:line="271" w:lineRule="auto"/>
        <w:rPr>
          <w:sz w:val="20"/>
          <w:szCs w:val="20"/>
          <w:color w:val="auto"/>
        </w:rPr>
      </w:pPr>
      <w:r>
        <w:rPr>
          <w:rFonts w:ascii="Times New Roman" w:cs="Times New Roman" w:eastAsia="Times New Roman" w:hAnsi="Times New Roman"/>
          <w:sz w:val="14"/>
          <w:szCs w:val="14"/>
          <w:color w:val="auto"/>
        </w:rPr>
        <w:t>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is likely to be highly volatile, and you may lose some or all of your investment.</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and many others, such as:</w:t>
      </w:r>
    </w:p>
    <w:p>
      <w:pPr>
        <w:spacing w:after="0" w:line="144"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Innventure’s financial condition and operating results, including fluctuations in its quarterly and annual results;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involving Innventure’s competitors;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Innventure’s business;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Innventure’s operating performance and the performance of its competitors in general;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Innventure’s press releases, its other public announcements and its filings with the SEC;</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Innventure or its competitors;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failure to meet the estimates and projections of the investment community or that it may otherwise provide to the public;</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Innventure’s industry, or positive or negative recommendations or withdrawal of research coverage by securities analysts;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the Common Stock or preferred stock by Innventure or its stockholders in the future;</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the Common Stock;</w:t>
      </w:r>
    </w:p>
    <w:p>
      <w:pPr>
        <w:spacing w:after="0" w:line="17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shareholder litigation;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requirements of the Nasdaq Global Market (“Nasdaq”);</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other events or factors, many of which are beyond Innventure’s control;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Innventure’s share price could subject Innventure to securities class action litigation.</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Innventure, or publish negative reports, then Innventure’s stock price and trading volume could decline.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160"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of our Common Stock or other equity may depress its stock price.</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completion of the Business Combination and the other transactions contemplated (the “Transactions”) by the Business Combination Agreement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 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160" w:lineRule="exact"/>
        <w:rPr>
          <w:sz w:val="20"/>
          <w:szCs w:val="20"/>
          <w:color w:val="auto"/>
        </w:rPr>
      </w:pPr>
    </w:p>
    <w:p>
      <w:pPr>
        <w:ind w:right="8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The provisions in Innventure’s charter documents include the following:</w:t>
      </w:r>
    </w:p>
    <w:p>
      <w:pPr>
        <w:spacing w:after="0" w:line="146"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may delay the ability of stockholders to change the membership of a majority of the Board;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32" w:name="page33"/>
    <w:bookmarkEnd w:id="32"/>
    <w:p>
      <w:pPr>
        <w:spacing w:after="0" w:line="54" w:lineRule="exact"/>
        <w:rPr>
          <w:sz w:val="20"/>
          <w:szCs w:val="20"/>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prohibition on removal of directors without cause;</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alter the Bylaws without obtaining stockholder approval;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approval of at least 2/3 of the shares entitled to vote to amend or repeal the Bylaws or amend, alter or repeal certain provisions of the A&amp;R Certificate of Incorporation;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Innventure’s stockholders;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exclusive forum provision providing that the Court of Chancery of the State of Delaware (the “Delaware Court”) will be the exclusive forum for certain actions and proceedings;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is subject to the anti-takeover provisions contained in Section 203 of the Delaware General Corporation Law, which will prevent Innventure from engaging in a business combination with any holder of 15% or more of its capital stock unless the holder has held the stock for three years or, among other exceptions, the Board has approved the transaction.</w:t>
      </w:r>
    </w:p>
    <w:p>
      <w:pPr>
        <w:spacing w:after="0" w:line="14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14"/>
          <w:szCs w:val="14"/>
          <w:color w:val="auto"/>
        </w:rPr>
        <w:t>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63"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report and Innventure’s periodic reports and proxy statements.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offerings or issuances of equity securities by Innventure may adversely affect the market price of the Common Stock or otherwise dilute all other stockholders.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w:t>
      </w:r>
    </w:p>
    <w:p>
      <w:pPr>
        <w:spacing w:after="0" w:line="167"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Generally Accepted Accounting Principles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provided in the section entitled “</w:t>
      </w:r>
      <w:r>
        <w:rPr>
          <w:rFonts w:ascii="Times New Roman" w:cs="Times New Roman" w:eastAsia="Times New Roman" w:hAnsi="Times New Roman"/>
          <w:sz w:val="14"/>
          <w:szCs w:val="14"/>
          <w:i w:val="1"/>
          <w:iCs w:val="1"/>
          <w:color w:val="auto"/>
        </w:rPr>
        <w:t>Management’s Discussion and Analysis of Financial Condition and Results of Operations—Critical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Policies and Use of Estimates</w:t>
      </w:r>
      <w:r>
        <w:rPr>
          <w:rFonts w:ascii="Times New Roman" w:cs="Times New Roman" w:eastAsia="Times New Roman" w:hAnsi="Times New Roman"/>
          <w:sz w:val="14"/>
          <w:szCs w:val="14"/>
          <w:color w:val="auto"/>
        </w:rPr>
        <w:t>.” The results of these estimates form the basis for making judgments about the carrying values of assets and liabilities that are not readily apparent from other sources.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160"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Bylaws provide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4"/>
          <w:szCs w:val="14"/>
          <w:color w:val="auto"/>
        </w:rPr>
        <w:t>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155"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166" w:lineRule="exact"/>
        <w:rPr>
          <w:sz w:val="20"/>
          <w:szCs w:val="20"/>
          <w:color w:val="auto"/>
        </w:rPr>
      </w:pPr>
    </w:p>
    <w:p>
      <w:pPr>
        <w:ind w:right="6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Innventure is deemed to be an investment company under the Investment Company Act, it will be subject to additional regulatory requirements and its activities may be restricted, including:</w:t>
      </w:r>
    </w:p>
    <w:p>
      <w:pPr>
        <w:spacing w:after="0" w:line="179"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nature of its investments;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its ability to borrow;</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prohibitions on transactions with affiliates;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issuance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these may make it difficult for Innventure to run its business. In addition, the law may impose upon Innventure burdensome requirements, including:</w:t>
      </w:r>
    </w:p>
    <w:p>
      <w:pPr>
        <w:spacing w:after="0" w:line="189"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as an investment company and subsequent regulation as an investment company;</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adoption of a specific form of corporate structure;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record keeping, voting, proxy and disclosure requirements and other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6" w:name="page37"/>
    <w:bookmarkEnd w:id="36"/>
    <w:p>
      <w:pPr>
        <w:jc w:val="both"/>
        <w:spacing w:after="0" w:line="244" w:lineRule="auto"/>
        <w:rPr>
          <w:sz w:val="20"/>
          <w:szCs w:val="20"/>
          <w:color w:val="auto"/>
        </w:rPr>
      </w:pPr>
      <w:r>
        <w:rPr>
          <w:rFonts w:ascii="Times New Roman" w:cs="Times New Roman" w:eastAsia="Times New Roman" w:hAnsi="Times New Roman"/>
          <w:sz w:val="14"/>
          <w:szCs w:val="14"/>
          <w:color w:val="auto"/>
        </w:rPr>
        <w:t>Innventure intends to conduct its operations so that it is not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w:t>
      </w:r>
    </w:p>
    <w:p>
      <w:pPr>
        <w:spacing w:after="0" w:line="15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7" w:name="page38"/>
    <w:bookmarkEnd w:id="37"/>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financing transactions by the Operating Companies could impact your rights as a stockholder of Innventure.</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may be unable to sufficiently protect the IP rights of itself and the Innventure Companies and may encounter disputes from time to time relating to its use of the IP of third parties.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8" w:name="page39"/>
    <w:bookmarkEnd w:id="38"/>
    <w:p>
      <w:pPr>
        <w:jc w:val="both"/>
        <w:spacing w:after="0" w:line="239" w:lineRule="auto"/>
        <w:rPr>
          <w:sz w:val="20"/>
          <w:szCs w:val="20"/>
          <w:color w:val="auto"/>
        </w:rPr>
      </w:pPr>
      <w:r>
        <w:rPr>
          <w:rFonts w:ascii="Times New Roman" w:cs="Times New Roman" w:eastAsia="Times New Roman" w:hAnsi="Times New Roman"/>
          <w:sz w:val="14"/>
          <w:szCs w:val="14"/>
          <w:color w:val="auto"/>
        </w:rPr>
        <w:t>Innventure or the Innventure Companies also may encounter disputes from time to time concerning IP rights of others, and it may not prevail in these disputes. Third parties may raise claims against Innventure alleging that 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 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U.S. or foreign trade policies, including additional tariffs or global trade conflicts, may adversely impact our business and operating results.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9" w:name="page40"/>
    <w:bookmarkEnd w:id="39"/>
    <w:p>
      <w:pPr>
        <w:jc w:val="both"/>
        <w:spacing w:after="0" w:line="242" w:lineRule="auto"/>
        <w:rPr>
          <w:sz w:val="20"/>
          <w:szCs w:val="20"/>
          <w:color w:val="auto"/>
        </w:rPr>
      </w:pPr>
      <w:r>
        <w:rPr>
          <w:rFonts w:ascii="Times New Roman" w:cs="Times New Roman" w:eastAsia="Times New Roman" w:hAnsi="Times New Roman"/>
          <w:sz w:val="14"/>
          <w:szCs w:val="14"/>
          <w:color w:val="auto"/>
        </w:rPr>
        <w:t>goods and services across international borders. Changes in foreign trade policies, such as the imposition of new tariffs, duties, or other trade barriers, can increase the cost of our products and materials, disrupt our supply 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 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the Innventure Companies, and their MNC partners face risks and uncertainties related to litigation, regulatory actions and investigations.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Cyber-attacks or a failure in Innventure’s information technology and data security infrastructure could adversely affect Innventure’s business and operations.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Innventure may face particular data protection and privacy risks in connection with the European Union’s Global Data Protection Regulation, the California Consumer Privacy Act and other privacy laws and regulations.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0" w:name="page41"/>
    <w:bookmarkEnd w:id="40"/>
    <w:p>
      <w:pPr>
        <w:jc w:val="both"/>
        <w:spacing w:after="0" w:line="271" w:lineRule="auto"/>
        <w:rPr>
          <w:sz w:val="20"/>
          <w:szCs w:val="20"/>
          <w:color w:val="auto"/>
        </w:rPr>
      </w:pPr>
      <w:r>
        <w:rPr>
          <w:rFonts w:ascii="Times New Roman" w:cs="Times New Roman" w:eastAsia="Times New Roman" w:hAnsi="Times New Roman"/>
          <w:sz w:val="14"/>
          <w:szCs w:val="14"/>
          <w:color w:val="auto"/>
        </w:rPr>
        <w:t>business grows, it is therefore possible that we will have a higher regulatory risk profile and increased costs as we seek to comply with new regulatory requirements related to the processing of personal and commercial data.</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AI systems. The changes introduced by these 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AI technologies could present business, compliance and reputational risks.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relating to ESG considerations expose Innventure to potential liabilities, increased costs, reputational harm and other adverse effects on Innventure’s business.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Many governments, regulators, investors, employees, customers and other stakeholders are increasingly focused on ESG and sustainability considerations relating to businesses, including climate change and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 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or legal, regulatory or market measures to address climate change may materially adversely affect Innventure’s financial condition and business operations.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could adversely affect Innventure and the Innventure Companies.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For example, during October 2021, the Organisation for Economic Cooperation and Development (the “OECD”) announced that 136 countries and tax jurisdictions have agreed to implement a new “Two Pillar” approach to international taxation. Numerous countries have now enacted, or are in the process of enacting, new legislation consistent with this approach, which took effect for the first time in 2024. More countries have committed to introduce similar legislation, at different times and in different ways, through their individual agreement to tax treaty changes and through changes to their own domestic tax laws.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first of the OECD’s “pillars” establishes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second pillar establishes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 In an initial transition period from 2024 to 2026, enterprises are exempt from this additional tax if certain “Safe Harbour” tests are met.</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Depending on how the jurisdictions in which Innventure and the Innventure Companies operate choose to implement the OECD’s approach in their tax treaties and domestic tax laws, and future evolution of the OECD’s “Two Pillar” approach, Innventure and the Innventure Companies could be adversely affected due to its income being taxed at higher effective rates.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Information about cybersecurity risks and Innventure’s risk management processes is collected, analyzed and considered as part of Innventure’s overall enterprise risk management program. In connection with Innventure’s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1" w:right="31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14"/>
          <w:szCs w:val="14"/>
          <w:color w:val="auto"/>
        </w:rPr>
        <w:t>risk management process, the Audit Committee of the Board (the “Audit Committee”) discusses with management and the independent auditors the Company’s underlying policies and guidelines with respect to risk assessment and risk management, including with respect to cybersecurity.</w:t>
      </w:r>
    </w:p>
    <w:p>
      <w:pPr>
        <w:spacing w:after="0" w:line="146"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Innventure is in the process of implementing measures to mitigate potential risks associated with information technology disruptions and cybersecurity threats, and Innventure plans to periodically assesses these risks, implements controls, and performs business continuity and disaster recovery planning. Innventure’s current risk management efforts include threat intelligence gathering, vulnerability assessments, and the integration of cybersecurity technologies. These measures are designed to help protect Innventure’s proprietary systems and customer data from both internal and external cybersecurity threats.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Innventure engages third parties to perform various cybersecurity services and risk assessments. In order to oversee and identify risks from cybersecurity threats associated with our use of third-party service providers, Innventure performs diligence on third-party service providers that provide critical data.</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of the date of this Form 10-K, Innventure has not identified risks as a result of prior cybersecurity incidents that have materially affected, or are reasonably likely to materially affect, Innventure’s operations, business strategy, results of operations, or financial condition. Innventure faces certain ongoing risks from cybersecurity threats and interruptions that, if realized, are reasonably likely to have a material adverse effect on Innventure’s business, financial condition, results of operation, and prospects. See “Risk Factors—Cyber-attacks or a failure in Innventure’s information technology and data security infrastructure could adversely affect Innventure’s business and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Audit Committee is responsible for overseeing the Company’s guidelines and policies with respect to risk assessment and risk management to assess and manage the Company’s exposure to enterprise risk. The Audit Committee periodically reviews and discusses with management the Company’s policies with respect to risk assessment and risk management, including but not limited to cybersecurity and enterprise risk, and steps management has taken to monitor and control such exposures.</w:t>
      </w:r>
    </w:p>
    <w:p>
      <w:pPr>
        <w:spacing w:after="0" w:line="15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Our Vice President, Finance is responsible for assessing and managing risks from cybersecurity threats. Innventure’s Vice President, Finance has a Bachelor’s degree in Accounting and a Master of Business Administration degree. Our Vice President, Finance is informed about and monitors the prevention, detection, mitigation, and remediation of cybersecurity incidents through reports from an external consultant. The external consultant has 20 years of cybersecurity experience. The external consultant also has an Associate’s degree in Database Administration and Network and System Administration. The external consultant also maintains the industry-recognized CompTIA Security+ certification. The Vice President, Finance reports any exposure to risks from cybersecurity threats to our CFO. The Company intends for the CFO to regularly provide updates on risks related to cybersecurity to the Audit Committee.</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9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Our principal executive offices are located at 6900 Tavistock Lakes Blvd, Suite 400 Orlando, FL 32827. We believe these facilities are adequate for our current needs and that suitable additional space will be available as needed.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Innventure (including AeroFlexx, Accelsius and Refinity)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Other than as described below, none of Innventure’s directors or executive officers have been involved in any legal proceedings required to be disclosed pursuant to Item 401(f) of Regulation S-K.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302" w:right="539" w:bottom="1440" w:gutter="0" w:footer="0" w:header="0"/>
        </w:sectPr>
      </w:pPr>
    </w:p>
    <w:bookmarkStart w:id="44" w:name="page45"/>
    <w:bookmarkEnd w:id="44"/>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trades on Nasdaq under the symbol “INV”.</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March 17, 2025, there were 292 holders of record of our Common Stock. The number of record holders was determined from the records of our transfer agent and does not include beneficial owners of shares of Common Stock that are held in the names of various security brokers, dealers, and registered clearing agencies.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have not paid any dividends on our Common Stock to date. It is our present intention to retain any earnings for use in our business operations, and, accordingly we do not anticipate that the Board will declare any dividends in the foreseeable future on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Company issued each of the following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Issuances to Yorkville</w:t>
      </w:r>
    </w:p>
    <w:p>
      <w:pPr>
        <w:spacing w:after="0" w:line="1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December 24, 2024, the Company issued Yorkville 60,000 shares of Common Stock at an effective price of $12.83 per share, and on December 30, 2024, the Company issued Yorkville 75,000 shares of Common Stock at an effective price of $12.86 per share, each pursuant to the terms of the SEPA.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the Company’s purchases of Common Stock for the fourth quarter of 2024.</w:t>
      </w:r>
    </w:p>
    <w:p>
      <w:pPr>
        <w:sectPr>
          <w:pgSz w:w="11900" w:h="16838" w:orient="portrait"/>
          <w:cols w:equalWidth="0" w:num="1">
            <w:col w:w="11280"/>
          </w:cols>
          <w:pgMar w:left="300" w:top="1311" w:right="319" w:bottom="1440" w:gutter="0" w:footer="0" w:header="0"/>
        </w:sect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24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(a) Total number of shares (or units)</w:t>
            </w:r>
          </w:p>
        </w:tc>
        <w:tc>
          <w:tcPr>
            <w:tcW w:w="21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 Average price paid per share (or</w:t>
            </w:r>
          </w:p>
        </w:tc>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(c) Total number of shares (or units)</w:t>
            </w:r>
          </w:p>
        </w:tc>
      </w:tr>
      <w:tr>
        <w:trPr>
          <w:trHeight w:val="127"/>
        </w:trPr>
        <w:tc>
          <w:tcPr>
            <w:tcW w:w="1820" w:type="dxa"/>
            <w:vAlign w:val="bottom"/>
          </w:tcPr>
          <w:p>
            <w:pPr>
              <w:spacing w:after="0"/>
              <w:rPr>
                <w:sz w:val="11"/>
                <w:szCs w:val="11"/>
                <w:color w:val="auto"/>
              </w:rPr>
            </w:pPr>
          </w:p>
        </w:tc>
        <w:tc>
          <w:tcPr>
            <w:tcW w:w="240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b w:val="1"/>
                <w:bCs w:val="1"/>
                <w:color w:val="auto"/>
              </w:rPr>
              <w:t>purchased</w:t>
            </w:r>
          </w:p>
        </w:tc>
        <w:tc>
          <w:tcPr>
            <w:tcW w:w="21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unit)</w:t>
            </w:r>
          </w:p>
        </w:tc>
        <w:tc>
          <w:tcPr>
            <w:tcW w:w="20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b w:val="1"/>
                <w:bCs w:val="1"/>
                <w:color w:val="auto"/>
              </w:rPr>
              <w:t>purchased as part of publicly</w:t>
            </w:r>
          </w:p>
        </w:tc>
      </w:tr>
      <w:tr>
        <w:trPr>
          <w:trHeight w:val="167"/>
        </w:trPr>
        <w:tc>
          <w:tcPr>
            <w:tcW w:w="18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announced plans or programs</w:t>
            </w:r>
          </w:p>
        </w:tc>
      </w:tr>
      <w:tr>
        <w:trPr>
          <w:trHeight w:val="295"/>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October 1 to October 31</w:t>
            </w:r>
          </w:p>
        </w:tc>
        <w:tc>
          <w:tcPr>
            <w:tcW w:w="2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November 1 to November 30</w:t>
            </w:r>
          </w:p>
        </w:tc>
        <w:tc>
          <w:tcPr>
            <w:tcW w:w="24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6885305" cy="107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5305"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460" w:firstLine="7"/>
        <w:spacing w:after="0" w:line="220" w:lineRule="auto"/>
        <w:tabs>
          <w:tab w:leader="none" w:pos="187" w:val="left"/>
        </w:tabs>
        <w:numPr>
          <w:ilvl w:val="0"/>
          <w:numId w:val="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Maximum number (or approximate dollar value) of shares (or units) that may yet be purchased under the plans or programs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215" w:lineRule="exact"/>
        <w:rPr>
          <w:sz w:val="20"/>
          <w:szCs w:val="20"/>
          <w:color w:val="auto"/>
        </w:rPr>
      </w:pPr>
    </w:p>
    <w:p>
      <w:pPr>
        <w:sectPr>
          <w:pgSz w:w="11900" w:h="16838" w:orient="portrait"/>
          <w:cols w:equalWidth="0" w:num="2">
            <w:col w:w="8480" w:space="200"/>
            <w:col w:w="2600"/>
          </w:cols>
          <w:pgMar w:left="300" w:top="1311" w:right="31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84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3"/>
                <w:szCs w:val="13"/>
                <w:color w:val="auto"/>
              </w:rPr>
              <w:t>December 1 to December 31</w:t>
            </w:r>
          </w:p>
        </w:tc>
        <w:tc>
          <w:tcPr>
            <w:tcW w:w="1480" w:type="dxa"/>
            <w:vAlign w:val="bottom"/>
            <w:shd w:val="clear" w:color="auto" w:fill="CCED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shd w:val="clear" w:color="auto" w:fill="CCED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shd w:val="clear" w:color="auto" w:fill="CCED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shd w:val="clear" w:color="auto" w:fill="CCEDFF"/>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21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31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1349" w:right="7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consolidated financial statements and related notes and other information included elsewhere in this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Form 10-K. Additionally, our historical results are not necessarily indicative of the results that may be expected for any period in the future.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Item 1. “Business” of this Form 10-K for a detailed discussion of our business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Based on the allocation of resources and assessment of financial performance by our Chief Executive Officer (who has been determined to be our Chief Operating Decision Maker), we have identified one reportable segment: Technology.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Business Combination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Innventure’s future results of consolidated operations and financial position may not be comparable to historical results as a result of the Business Combination.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Highlights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year ended December 31, 2024 includes the following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7" w:name="page48"/>
    <w:bookmarkEnd w:id="47"/>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Technology segment began generating revenue related to its cooling systems for data centers.</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operational expenses of approximately $10,506 and $12,517, respectively, relate to increased costs associated with public readiness activities connected with the Business Combination and the subsequent reporting requirements related to being a public entity for the Successor (as defined below) period from October 2, 2024 through December 31, 2024 and the Predecessor (as defined below) period from January 1, 2024 through October 1, 2024.</w:t>
      </w:r>
    </w:p>
    <w:p>
      <w:pPr>
        <w:spacing w:after="0" w:line="135" w:lineRule="exact"/>
        <w:rPr>
          <w:rFonts w:ascii="Times New Roman" w:cs="Times New Roman" w:eastAsia="Times New Roman" w:hAnsi="Times New Roman"/>
          <w:sz w:val="14"/>
          <w:szCs w:val="14"/>
          <w:color w:val="auto"/>
        </w:rPr>
      </w:pPr>
    </w:p>
    <w:p>
      <w:pPr>
        <w:jc w:val="both"/>
        <w:ind w:left="520" w:hanging="260"/>
        <w:spacing w:after="0" w:line="26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inflows from equity raises were approximately $19,552 and $26,981, respectively, for the Successor period from October 2, 2024 through December 31, 2024 and the Predecessor period from January 1, 2024 through October 1, 2024. These cash inflows from equity raises are compared to net cash outflows related to operating, investing and remaining financing activity of $8,478 and $13,345, respectively, for the Successor period from October 2, 2024 through December 31, 2024 and the Predecessor period from January 1, 2024 through October 1, 2024.</w:t>
      </w:r>
    </w:p>
    <w:p>
      <w:pPr>
        <w:spacing w:after="0" w:line="31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Business Combination, $187,500 of intangible assets and $667,936 of goodwill were recognized. Overall, $147,515 of net identifiable assets were acquired.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2024 and 2023 (in thousands, except as otherwise noted)</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06"/>
        </w:trPr>
        <w:tc>
          <w:tcPr>
            <w:tcW w:w="356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71"/>
              <w:spacing w:after="0" w:line="106" w:lineRule="exact"/>
              <w:rPr>
                <w:sz w:val="20"/>
                <w:szCs w:val="20"/>
                <w:color w:val="auto"/>
              </w:rPr>
            </w:pPr>
            <w:r>
              <w:rPr>
                <w:rFonts w:ascii="Times New Roman" w:cs="Times New Roman" w:eastAsia="Times New Roman" w:hAnsi="Times New Roman"/>
                <w:sz w:val="10"/>
                <w:szCs w:val="10"/>
                <w:b w:val="1"/>
                <w:bCs w:val="1"/>
                <w:color w:val="auto"/>
                <w:w w:val="99"/>
              </w:rPr>
              <w:t>S/P Combined (Non-</w:t>
            </w:r>
          </w:p>
        </w:tc>
        <w:tc>
          <w:tcPr>
            <w:tcW w:w="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12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Predecessor</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rPr>
              <w:t>GAAP)</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Predecessor</w:t>
            </w:r>
          </w:p>
        </w:tc>
        <w:tc>
          <w:tcPr>
            <w:tcW w:w="80" w:type="dxa"/>
            <w:vAlign w:val="bottom"/>
          </w:tcPr>
          <w:p>
            <w:pPr>
              <w:spacing w:after="0"/>
              <w:rPr>
                <w:sz w:val="12"/>
                <w:szCs w:val="12"/>
                <w:color w:val="auto"/>
              </w:rPr>
            </w:pPr>
          </w:p>
        </w:tc>
        <w:tc>
          <w:tcPr>
            <w:tcW w:w="1800" w:type="dxa"/>
            <w:vAlign w:val="bottom"/>
            <w:tcBorders>
              <w:bottom w:val="single" w:sz="8" w:color="auto"/>
            </w:tcBorders>
            <w:gridSpan w:val="3"/>
          </w:tcPr>
          <w:p>
            <w:pPr>
              <w:jc w:val="center"/>
              <w:ind w:left="731"/>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Period from October 2,</w:t>
            </w:r>
          </w:p>
        </w:tc>
        <w:tc>
          <w:tcPr>
            <w:tcW w:w="120" w:type="dxa"/>
            <w:vAlign w:val="bottom"/>
            <w:tcBorders>
              <w:right w:val="single" w:sz="8" w:color="auto"/>
            </w:tcBorders>
          </w:tcPr>
          <w:p>
            <w:pPr>
              <w:spacing w:after="0"/>
              <w:rPr>
                <w:sz w:val="10"/>
                <w:szCs w:val="1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Period from January 1,</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2024 through December 31,</w:t>
            </w:r>
          </w:p>
        </w:tc>
        <w:tc>
          <w:tcPr>
            <w:tcW w:w="120" w:type="dxa"/>
            <w:vAlign w:val="bottom"/>
            <w:tcBorders>
              <w:right w:val="single" w:sz="8" w:color="auto"/>
            </w:tcBorders>
          </w:tcPr>
          <w:p>
            <w:pPr>
              <w:spacing w:after="0"/>
              <w:rPr>
                <w:sz w:val="10"/>
                <w:szCs w:val="10"/>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2024 through October 1,</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Year ended December 31,</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Year ended December 31,</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560" w:type="dxa"/>
            <w:vAlign w:val="bottom"/>
          </w:tcPr>
          <w:p>
            <w:pPr>
              <w:spacing w:after="0"/>
              <w:rPr>
                <w:sz w:val="12"/>
                <w:szCs w:val="12"/>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right w:val="single" w:sz="8" w:color="auto"/>
            </w:tcBorders>
          </w:tcPr>
          <w:p>
            <w:pPr>
              <w:spacing w:after="0"/>
              <w:rPr>
                <w:sz w:val="12"/>
                <w:szCs w:val="12"/>
                <w:color w:val="auto"/>
              </w:rPr>
            </w:pPr>
          </w:p>
        </w:tc>
        <w:tc>
          <w:tcPr>
            <w:tcW w:w="1180" w:type="dxa"/>
            <w:vAlign w:val="bottom"/>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2"/>
                <w:szCs w:val="12"/>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2"/>
                <w:szCs w:val="12"/>
                <w:color w:val="auto"/>
              </w:rPr>
            </w:pPr>
          </w:p>
        </w:tc>
        <w:tc>
          <w:tcPr>
            <w:tcW w:w="1800" w:type="dxa"/>
            <w:vAlign w:val="bottom"/>
            <w:gridSpan w:val="3"/>
          </w:tcPr>
          <w:p>
            <w:pPr>
              <w:jc w:val="center"/>
              <w:ind w:left="751"/>
              <w:spacing w:after="0"/>
              <w:rPr>
                <w:sz w:val="20"/>
                <w:szCs w:val="20"/>
                <w:color w:val="auto"/>
              </w:rPr>
            </w:pPr>
            <w:r>
              <w:rPr>
                <w:rFonts w:ascii="Times New Roman" w:cs="Times New Roman" w:eastAsia="Times New Roman" w:hAnsi="Times New Roman"/>
                <w:sz w:val="10"/>
                <w:szCs w:val="10"/>
                <w:b w:val="1"/>
                <w:bCs w:val="1"/>
                <w:color w:val="auto"/>
                <w:w w:val="98"/>
              </w:rPr>
              <w:t>2024 vs 2023 Changes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56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Revenue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764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1,220</w:t>
            </w:r>
          </w:p>
        </w:tc>
        <w:tc>
          <w:tcPr>
            <w:tcW w:w="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1,117</w:t>
            </w:r>
          </w:p>
        </w:tc>
        <w:tc>
          <w:tcPr>
            <w:tcW w:w="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27"/>
        </w:trPr>
        <w:tc>
          <w:tcPr>
            <w:tcW w:w="3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Expenses</w:t>
            </w:r>
          </w:p>
        </w:tc>
        <w:tc>
          <w:tcPr>
            <w:tcW w:w="1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Cost of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3,752</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4,529</w:t>
            </w:r>
          </w:p>
        </w:tc>
        <w:tc>
          <w:tcPr>
            <w:tcW w:w="80" w:type="dxa"/>
            <w:vAlign w:val="bottom"/>
          </w:tcPr>
          <w:p>
            <w:pPr>
              <w:spacing w:after="0"/>
              <w:rPr>
                <w:sz w:val="11"/>
                <w:szCs w:val="1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4,529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5"/>
              </w:rPr>
              <w:t>nil</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29,652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26,608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56,260</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17,589</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38,671</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Sales and marketing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2,009</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6,187</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3,205</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2,982</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Research and development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5,340</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5,978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11,318</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4,001</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7,317</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27"/>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40,753</w:t>
            </w:r>
          </w:p>
        </w:tc>
        <w:tc>
          <w:tcPr>
            <w:tcW w:w="120" w:type="dxa"/>
            <w:vAlign w:val="bottom"/>
            <w:tcBorders>
              <w:right w:val="single" w:sz="8" w:color="auto"/>
            </w:tcBorders>
          </w:tcPr>
          <w:p>
            <w:pPr>
              <w:spacing w:after="0"/>
              <w:rPr>
                <w:sz w:val="11"/>
                <w:szCs w:val="11"/>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37,541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78,294</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24,795</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53,499</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215.8 %</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3560" w:type="dxa"/>
            <w:vAlign w:val="bottom"/>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1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Loss from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(40,297)</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(36,777)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(77,074)</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(23,678)</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(53,396)</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225.5 %</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3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Non-operating (Expense) and Income</w:t>
            </w:r>
          </w:p>
        </w:tc>
        <w:tc>
          <w:tcPr>
            <w:tcW w:w="12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Interest expense, net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(2,432)</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(1,224)</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(1,208)</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Net gain (loss) from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11,547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11,547</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(6,448)</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279.1</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(loss) gain on investments - due to related parties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(700)</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(301.7) %</w:t>
            </w: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Change in fair value of financial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(20,946)</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(21,424)</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(22,190)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(2,896.9) %</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Equity method investment (loss) income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893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(632)</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(98.6) %</w:t>
            </w: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Loss on conversion of promissory notes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80" w:type="dxa"/>
            <w:vAlign w:val="bottom"/>
          </w:tcPr>
          <w:p>
            <w:pPr>
              <w:spacing w:after="0"/>
              <w:rPr>
                <w:sz w:val="11"/>
                <w:szCs w:val="1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5"/>
              </w:rPr>
              <w:t>nil</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Write-off of loan commitment fee asset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(10,041)</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5"/>
              </w:rPr>
              <w:t>nil</w:t>
            </w:r>
          </w:p>
        </w:tc>
        <w:tc>
          <w:tcPr>
            <w:tcW w:w="0" w:type="dxa"/>
            <w:vAlign w:val="bottom"/>
          </w:tcPr>
          <w:p>
            <w:pPr>
              <w:spacing w:after="0"/>
              <w:rPr>
                <w:sz w:val="1"/>
                <w:szCs w:val="1"/>
                <w:color w:val="auto"/>
              </w:rPr>
            </w:pPr>
          </w:p>
        </w:tc>
      </w:tr>
      <w:tr>
        <w:trPr>
          <w:trHeight w:val="136"/>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Miscellaneous other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80" w:type="dxa"/>
            <w:vAlign w:val="bottom"/>
          </w:tcPr>
          <w:p>
            <w:pPr>
              <w:spacing w:after="0"/>
              <w:rPr>
                <w:sz w:val="11"/>
                <w:szCs w:val="1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356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Non-operating (Expense)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(33,078)</w:t>
            </w:r>
          </w:p>
        </w:tc>
        <w:tc>
          <w:tcPr>
            <w:tcW w:w="120" w:type="dxa"/>
            <w:vAlign w:val="bottom"/>
            <w:tcBorders>
              <w:right w:val="single" w:sz="8" w:color="auto"/>
            </w:tcBorders>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9,011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(24,067)</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(7,306)</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(16,761)</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229.4 %</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 expense (benefit)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(3,282)</w:t>
            </w:r>
          </w:p>
        </w:tc>
        <w:tc>
          <w:tcPr>
            <w:tcW w:w="120" w:type="dxa"/>
            <w:vAlign w:val="bottom"/>
            <w:tcBorders>
              <w:right w:val="single" w:sz="8" w:color="auto"/>
            </w:tcBorders>
            <w:shd w:val="clear" w:color="auto" w:fill="CCEEFF"/>
          </w:tcPr>
          <w:p>
            <w:pPr>
              <w:spacing w:after="0"/>
              <w:rPr>
                <w:sz w:val="13"/>
                <w:szCs w:val="13"/>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nm*</w:t>
            </w:r>
          </w:p>
        </w:tc>
        <w:tc>
          <w:tcPr>
            <w:tcW w:w="0" w:type="dxa"/>
            <w:vAlign w:val="bottom"/>
          </w:tcPr>
          <w:p>
            <w:pPr>
              <w:spacing w:after="0"/>
              <w:rPr>
                <w:sz w:val="1"/>
                <w:szCs w:val="1"/>
                <w:color w:val="auto"/>
              </w:rPr>
            </w:pPr>
          </w:p>
        </w:tc>
      </w:tr>
      <w:tr>
        <w:trPr>
          <w:trHeight w:val="117"/>
        </w:trPr>
        <w:tc>
          <w:tcPr>
            <w:tcW w:w="356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CCEEFF"/>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Loss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(70,093)</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(28,198)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(98,291)</w:t>
            </w:r>
          </w:p>
        </w:tc>
        <w:tc>
          <w:tcPr>
            <w:tcW w:w="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(30,984)</w:t>
            </w:r>
          </w:p>
        </w:tc>
        <w:tc>
          <w:tcPr>
            <w:tcW w:w="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(67,307)</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217.2 %</w:t>
            </w:r>
          </w:p>
        </w:tc>
        <w:tc>
          <w:tcPr>
            <w:tcW w:w="0" w:type="dxa"/>
            <w:vAlign w:val="bottom"/>
          </w:tcPr>
          <w:p>
            <w:pPr>
              <w:spacing w:after="0"/>
              <w:rPr>
                <w:sz w:val="1"/>
                <w:szCs w:val="1"/>
                <w:color w:val="auto"/>
              </w:rPr>
            </w:pPr>
          </w:p>
        </w:tc>
      </w:tr>
      <w:tr>
        <w:trPr>
          <w:trHeight w:val="133"/>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Less: net loss attributable to</w:t>
            </w:r>
          </w:p>
        </w:tc>
        <w:tc>
          <w:tcPr>
            <w:tcW w:w="12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Non-redeemable non-controlling interest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(8,339)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(11,762)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(20,101)</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8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(19,962)</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14,361.2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7"/>
        </w:trPr>
        <w:tc>
          <w:tcPr>
            <w:tcW w:w="356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CCEEFF"/>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56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0"/>
                <w:szCs w:val="10"/>
                <w:b w:val="1"/>
                <w:bCs w:val="1"/>
                <w:color w:val="auto"/>
              </w:rPr>
              <w:t>Net Loss Attributable to Innventure, Inc. Stockholders / Innventure LLC</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(61,754)</w:t>
            </w:r>
          </w:p>
        </w:tc>
        <w:tc>
          <w:tcPr>
            <w:tcW w:w="120" w:type="dxa"/>
            <w:vAlign w:val="bottom"/>
            <w:tcBorders>
              <w:right w:val="single" w:sz="8" w:color="auto"/>
            </w:tcBorders>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(16,436)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(78,190)</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(30,845)</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(47,345)</w:t>
            </w: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153.5 %</w:t>
            </w:r>
          </w:p>
        </w:tc>
        <w:tc>
          <w:tcPr>
            <w:tcW w:w="0" w:type="dxa"/>
            <w:vAlign w:val="bottom"/>
          </w:tcPr>
          <w:p>
            <w:pPr>
              <w:spacing w:after="0"/>
              <w:rPr>
                <w:sz w:val="1"/>
                <w:szCs w:val="1"/>
                <w:color w:val="auto"/>
              </w:rPr>
            </w:pPr>
          </w:p>
        </w:tc>
      </w:tr>
      <w:tr>
        <w:trPr>
          <w:trHeight w:val="151"/>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Unitholders</w:t>
            </w: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Other comprehensive income, net of taxes:</w:t>
            </w:r>
          </w:p>
        </w:tc>
        <w:tc>
          <w:tcPr>
            <w:tcW w:w="1200" w:type="dxa"/>
            <w:vAlign w:val="bottom"/>
            <w:tcBorders>
              <w:top w:val="single" w:sz="8" w:color="CCEEFF"/>
              <w:bottom w:val="single" w:sz="8" w:color="auto"/>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180" w:type="dxa"/>
            <w:vAlign w:val="bottom"/>
            <w:tcBorders>
              <w:top w:val="single" w:sz="8" w:color="CCEEFF"/>
              <w:bottom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bottom w:val="single" w:sz="8" w:color="auto"/>
            </w:tcBorders>
          </w:tcPr>
          <w:p>
            <w:pPr>
              <w:spacing w:after="0"/>
              <w:rPr>
                <w:sz w:val="4"/>
                <w:szCs w:val="4"/>
                <w:color w:val="auto"/>
              </w:rPr>
            </w:pPr>
          </w:p>
        </w:tc>
        <w:tc>
          <w:tcPr>
            <w:tcW w:w="1080" w:type="dxa"/>
            <w:vAlign w:val="bottom"/>
            <w:tcBorders>
              <w:top w:val="single" w:sz="8" w:color="CCEEFF"/>
              <w:bottom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0" w:type="dxa"/>
            <w:vAlign w:val="bottom"/>
            <w:tcBorders>
              <w:top w:val="single" w:sz="8" w:color="CCEEFF"/>
              <w:bottom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0" w:type="dxa"/>
            <w:vAlign w:val="bottom"/>
            <w:tcBorders>
              <w:top w:val="single" w:sz="8" w:color="CCEEFF"/>
              <w:bottom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bottom w:val="single" w:sz="8" w:color="auto"/>
            </w:tcBorders>
          </w:tcPr>
          <w:p>
            <w:pPr>
              <w:spacing w:after="0"/>
              <w:rPr>
                <w:sz w:val="4"/>
                <w:szCs w:val="4"/>
                <w:color w:val="auto"/>
              </w:rPr>
            </w:pPr>
          </w:p>
        </w:tc>
        <w:tc>
          <w:tcPr>
            <w:tcW w:w="660" w:type="dxa"/>
            <w:vAlign w:val="bottom"/>
            <w:tcBorders>
              <w:top w:val="single" w:sz="8" w:color="CCEEFF"/>
              <w:bottom w:val="single" w:sz="8" w:color="auto"/>
            </w:tcBorders>
          </w:tcPr>
          <w:p>
            <w:pPr>
              <w:spacing w:after="0"/>
              <w:rPr>
                <w:sz w:val="4"/>
                <w:szCs w:val="4"/>
                <w:color w:val="auto"/>
              </w:rPr>
            </w:pPr>
          </w:p>
        </w:tc>
        <w:tc>
          <w:tcPr>
            <w:tcW w:w="120" w:type="dxa"/>
            <w:vAlign w:val="bottom"/>
            <w:tcBorders>
              <w:top w:val="single" w:sz="8" w:color="CCEEFF"/>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5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Unrealized gain on available-for-sale debt securities - related party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909</w:t>
            </w:r>
          </w:p>
        </w:tc>
        <w:tc>
          <w:tcPr>
            <w:tcW w:w="120" w:type="dxa"/>
            <w:vAlign w:val="bottom"/>
            <w:tcBorders>
              <w:right w:val="single" w:sz="8" w:color="auto"/>
            </w:tcBorders>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971</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5"/>
              </w:rPr>
              <w:t>nil</w:t>
            </w:r>
          </w:p>
        </w:tc>
        <w:tc>
          <w:tcPr>
            <w:tcW w:w="0" w:type="dxa"/>
            <w:vAlign w:val="bottom"/>
          </w:tcPr>
          <w:p>
            <w:pPr>
              <w:spacing w:after="0"/>
              <w:rPr>
                <w:sz w:val="1"/>
                <w:szCs w:val="1"/>
                <w:color w:val="auto"/>
              </w:rPr>
            </w:pPr>
          </w:p>
        </w:tc>
      </w:tr>
      <w:tr>
        <w:trPr>
          <w:trHeight w:val="130"/>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other comprehensive loss, net of taxes</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909</w:t>
            </w:r>
          </w:p>
        </w:tc>
        <w:tc>
          <w:tcPr>
            <w:tcW w:w="120" w:type="dxa"/>
            <w:vAlign w:val="bottom"/>
            <w:tcBorders>
              <w:top w:val="single" w:sz="8" w:color="CCEEFF"/>
              <w:bottom w:val="single" w:sz="8" w:color="CCEEFF"/>
              <w:right w:val="single" w:sz="8" w:color="auto"/>
            </w:tcBorders>
            <w:shd w:val="clear" w:color="auto" w:fill="CCEEFF"/>
          </w:tcPr>
          <w:p>
            <w:pPr>
              <w:spacing w:after="0"/>
              <w:rPr>
                <w:sz w:val="11"/>
                <w:szCs w:val="11"/>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62</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971</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971</w:t>
            </w: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1"/>
              </w:rPr>
              <w:t>nil</w:t>
            </w: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right w:val="single" w:sz="8" w:color="auto"/>
            </w:tcBorders>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comprehensive loss, net of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(69,184)</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(28,136)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(97,320)</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(30,984)</w:t>
            </w:r>
          </w:p>
        </w:tc>
        <w:tc>
          <w:tcPr>
            <w:tcW w:w="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(66,336)</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214.1 %</w:t>
            </w:r>
          </w:p>
        </w:tc>
        <w:tc>
          <w:tcPr>
            <w:tcW w:w="0" w:type="dxa"/>
            <w:vAlign w:val="bottom"/>
          </w:tcPr>
          <w:p>
            <w:pPr>
              <w:spacing w:after="0"/>
              <w:rPr>
                <w:sz w:val="1"/>
                <w:szCs w:val="1"/>
                <w:color w:val="auto"/>
              </w:rPr>
            </w:pPr>
          </w:p>
        </w:tc>
      </w:tr>
      <w:tr>
        <w:trPr>
          <w:trHeight w:val="138"/>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Less: comprehensive income attributable to</w:t>
            </w:r>
          </w:p>
        </w:tc>
        <w:tc>
          <w:tcPr>
            <w:tcW w:w="1200" w:type="dxa"/>
            <w:vAlign w:val="bottom"/>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6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Non-redeemable non-controlling 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(8,339)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(20,101)</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(19,962)</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14,361.2</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17"/>
        </w:trPr>
        <w:tc>
          <w:tcPr>
            <w:tcW w:w="356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right w:val="single" w:sz="8" w:color="auto"/>
            </w:tcBorders>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560" w:type="dxa"/>
            <w:vAlign w:val="bottom"/>
          </w:tcPr>
          <w:p>
            <w:pPr>
              <w:ind w:left="20"/>
              <w:spacing w:after="0" w:line="103" w:lineRule="exact"/>
              <w:rPr>
                <w:sz w:val="20"/>
                <w:szCs w:val="20"/>
                <w:color w:val="auto"/>
              </w:rPr>
            </w:pPr>
            <w:r>
              <w:rPr>
                <w:rFonts w:ascii="Times New Roman" w:cs="Times New Roman" w:eastAsia="Times New Roman" w:hAnsi="Times New Roman"/>
                <w:sz w:val="10"/>
                <w:szCs w:val="10"/>
                <w:b w:val="1"/>
                <w:bCs w:val="1"/>
                <w:color w:val="auto"/>
              </w:rPr>
              <w:t>Net Comprehensive Loss Attributable to Innventure, Inc. Stockholders /</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(60,845)</w:t>
            </w:r>
          </w:p>
        </w:tc>
        <w:tc>
          <w:tcPr>
            <w:tcW w:w="120" w:type="dxa"/>
            <w:vAlign w:val="bottom"/>
            <w:tcBorders>
              <w:right w:val="single" w:sz="8" w:color="auto"/>
            </w:tcBorders>
            <w:shd w:val="clear" w:color="auto" w:fill="CCEEFF"/>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(16,374)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(77,219)</w:t>
            </w:r>
          </w:p>
        </w:tc>
        <w:tc>
          <w:tcPr>
            <w:tcW w:w="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(30,845)</w:t>
            </w:r>
          </w:p>
        </w:tc>
        <w:tc>
          <w:tcPr>
            <w:tcW w:w="8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(46,374)</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150.3 %</w:t>
            </w:r>
          </w:p>
        </w:tc>
        <w:tc>
          <w:tcPr>
            <w:tcW w:w="0" w:type="dxa"/>
            <w:vAlign w:val="bottom"/>
          </w:tcPr>
          <w:p>
            <w:pPr>
              <w:spacing w:after="0"/>
              <w:rPr>
                <w:sz w:val="1"/>
                <w:szCs w:val="1"/>
                <w:color w:val="auto"/>
              </w:rPr>
            </w:pPr>
          </w:p>
        </w:tc>
      </w:tr>
      <w:tr>
        <w:trPr>
          <w:trHeight w:val="151"/>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Innventure LLC Unitholders</w:t>
            </w:r>
          </w:p>
        </w:tc>
        <w:tc>
          <w:tcPr>
            <w:tcW w:w="12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1" w:lineRule="exact"/>
        <w:rPr>
          <w:sz w:val="20"/>
          <w:szCs w:val="20"/>
          <w:color w:val="auto"/>
        </w:rPr>
      </w:pPr>
    </w:p>
    <w:p>
      <w:pPr>
        <w:ind w:left="500" w:hanging="495"/>
        <w:spacing w:after="0"/>
        <w:tabs>
          <w:tab w:leader="none" w:pos="500" w:val="left"/>
        </w:tabs>
        <w:numPr>
          <w:ilvl w:val="0"/>
          <w:numId w:val="3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Revenue was $456 for the Successor period from October 2, 2024 through December 31, 2024, $764 for Predecessor period from January 1, 2024 through October 1, 2024 and $1,117 for the Predecessor year ended December 31, 2023. Revenue for the combined twelve months ended December 31, 2024 was $1,220, an increase of $103,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to an increase in professional services, legal fees and consulting fees related to the Business Combination of $17,600. The remaining increase in expenditure was due to increased employee costs associated with increased bonuses and stock based compensation grants.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Research and Development (“R&amp;D”) expense was $5,340 for the Successor period from October 2, 2024 through December 31, 2024, $5,978 for Predecessor period from January 1, 2024 through October 1, 2024 and $4,001 for the Predecessor year ended December 31, 2023. R&amp;D expense for the combined twelve months ended December 31, 2024 was $11,318, an increase of $7,317, or 182.9%, over the comparable period for the Predecessor year ended December 31, 2023. The increase was primarily due to an increase in employee-related costs in the Technology segment and an increase in new product development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net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expense, net was $1,132 for the Successor period from October 2, 2024 through December 31, 2024, $1,300 for Predecessor period from January 1, 2024 through October 1, 2024 and $1,224 for the Predecessor year ended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50" w:name="page51"/>
    <w:bookmarkEnd w:id="50"/>
    <w:p>
      <w:pPr>
        <w:jc w:val="both"/>
        <w:spacing w:after="0" w:line="270" w:lineRule="auto"/>
        <w:rPr>
          <w:sz w:val="20"/>
          <w:szCs w:val="20"/>
          <w:color w:val="auto"/>
        </w:rPr>
      </w:pPr>
      <w:r>
        <w:rPr>
          <w:rFonts w:ascii="Times New Roman" w:cs="Times New Roman" w:eastAsia="Times New Roman" w:hAnsi="Times New Roman"/>
          <w:sz w:val="14"/>
          <w:szCs w:val="14"/>
          <w:color w:val="auto"/>
        </w:rPr>
        <w:t>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from investments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gain on investments was nil for the Successor period from October 2, 2024 through December 31, 2024, $11,547 for Predecessor period from January 1, 2024 through October 1, 2024 and net loss on investments was $6,448 for the Predecessor year ended December 31, 2023. Net gain on investments for the combined twelve months ended December 31, 2024 was $11,547, an increase of $17,995, or 279.1%, over the comparable period for the Predecessor year ended December 31, 2023. The increase was due to the unrealized gain on investment in PCT owned stock via Class PCTA Units for the year ended December 31, 2024. The PCTA associated assets were not recognized as part of the Business Combination.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gain on investments - due to related parties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financial liabilities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 (loss) income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conversion of promissory notes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Write-off of loan commitment fee asset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 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attributable to non-redeemable non-controlling interests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Loss attributable to non-redeemable non-controlling interests was $8,339 for the Successor period from October 2, 2024 through December 31, 2024, $11,762 for Predecessor period January 1, 2024 through October 1, 2024 and $139 for the Predecessor year ended December 31, 2023. Loss attributable to non-redeemable non-controlling interests for the combined twelve months ended December 31, 2024 was $20,101, an increase of $19,962, or 14,361.2%, over the comparable period for the Predecessor year ended December 31, 2023. This was due to the increase in Accelsius loss subject to allocable percentage during the year ended December 31, 2024 as compared to the year ended December 31, 2023.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gain on available-for-sale debt securities - related party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52" w:name="page53"/>
    <w:bookmarkEnd w:id="52"/>
    <w:p>
      <w:pPr>
        <w:spacing w:after="0" w:line="287" w:lineRule="auto"/>
        <w:rPr>
          <w:sz w:val="20"/>
          <w:szCs w:val="20"/>
          <w:color w:val="auto"/>
        </w:rPr>
      </w:pPr>
      <w:r>
        <w:rPr>
          <w:rFonts w:ascii="Times New Roman" w:cs="Times New Roman" w:eastAsia="Times New Roman" w:hAnsi="Times New Roman"/>
          <w:sz w:val="14"/>
          <w:szCs w:val="14"/>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from Net Loss to EBITDA and Adjusted EBITDA for the specified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Borders>
              <w:right w:val="single" w:sz="8" w:color="auto"/>
            </w:tcBorders>
            <w:vMerge w:val="restart"/>
          </w:tcPr>
          <w:p>
            <w:pPr>
              <w:spacing w:after="0"/>
              <w:rPr>
                <w:sz w:val="12"/>
                <w:szCs w:val="12"/>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vMerge w:val="restart"/>
          </w:tcPr>
          <w:p>
            <w:pPr>
              <w:spacing w:after="0"/>
              <w:rPr>
                <w:sz w:val="12"/>
                <w:szCs w:val="12"/>
                <w:color w:val="auto"/>
              </w:rPr>
            </w:pPr>
          </w:p>
        </w:tc>
        <w:tc>
          <w:tcPr>
            <w:tcW w:w="17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 Combined (Non-</w:t>
            </w:r>
          </w:p>
        </w:tc>
        <w:tc>
          <w:tcPr>
            <w:tcW w:w="80" w:type="dxa"/>
            <w:vAlign w:val="bottom"/>
          </w:tcPr>
          <w:p>
            <w:pPr>
              <w:spacing w:after="0"/>
              <w:rPr>
                <w:sz w:val="12"/>
                <w:szCs w:val="12"/>
                <w:color w:val="auto"/>
              </w:rPr>
            </w:pPr>
          </w:p>
        </w:tc>
        <w:tc>
          <w:tcPr>
            <w:tcW w:w="1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GAAP)</w:t>
            </w:r>
          </w:p>
        </w:tc>
        <w:tc>
          <w:tcPr>
            <w:tcW w:w="8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00" w:type="dxa"/>
            <w:vAlign w:val="bottom"/>
            <w:tcBorders>
              <w:right w:val="single" w:sz="8" w:color="auto"/>
            </w:tcBorders>
          </w:tcPr>
          <w:p>
            <w:pPr>
              <w:spacing w:after="0"/>
              <w:rPr>
                <w:sz w:val="11"/>
                <w:szCs w:val="11"/>
                <w:color w:val="auto"/>
              </w:rPr>
            </w:pPr>
          </w:p>
        </w:tc>
        <w:tc>
          <w:tcPr>
            <w:tcW w:w="17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Period from January 1,</w:t>
            </w:r>
          </w:p>
        </w:tc>
        <w:tc>
          <w:tcPr>
            <w:tcW w:w="80" w:type="dxa"/>
            <w:vAlign w:val="bottom"/>
          </w:tcPr>
          <w:p>
            <w:pPr>
              <w:spacing w:after="0"/>
              <w:rPr>
                <w:sz w:val="11"/>
                <w:szCs w:val="11"/>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1"/>
                <w:szCs w:val="11"/>
                <w:color w:val="auto"/>
              </w:rPr>
            </w:pPr>
          </w:p>
        </w:tc>
        <w:tc>
          <w:tcPr>
            <w:tcW w:w="1820" w:type="dxa"/>
            <w:vAlign w:val="bottom"/>
            <w:tcBorders>
              <w:right w:val="single" w:sz="8" w:color="auto"/>
            </w:tcBorders>
            <w:gridSpan w:val="2"/>
          </w:tcPr>
          <w:p>
            <w:pPr>
              <w:jc w:val="right"/>
              <w:ind w:right="140"/>
              <w:spacing w:after="0" w:line="138" w:lineRule="exact"/>
              <w:rPr>
                <w:sz w:val="20"/>
                <w:szCs w:val="20"/>
                <w:color w:val="auto"/>
              </w:rPr>
            </w:pPr>
            <w:r>
              <w:rPr>
                <w:rFonts w:ascii="Times New Roman" w:cs="Times New Roman" w:eastAsia="Times New Roman" w:hAnsi="Times New Roman"/>
                <w:sz w:val="14"/>
                <w:szCs w:val="14"/>
                <w:b w:val="1"/>
                <w:bCs w:val="1"/>
                <w:color w:val="auto"/>
              </w:rPr>
              <w:t>2024 through December 31,</w:t>
            </w:r>
          </w:p>
        </w:tc>
        <w:tc>
          <w:tcPr>
            <w:tcW w:w="17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80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right w:val="single" w:sz="8" w:color="auto"/>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(70,093)</w:t>
            </w:r>
          </w:p>
        </w:tc>
        <w:tc>
          <w:tcPr>
            <w:tcW w:w="100" w:type="dxa"/>
            <w:vAlign w:val="bottom"/>
            <w:tcBorders>
              <w:right w:val="single" w:sz="8" w:color="auto"/>
            </w:tcBorders>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(98,291)</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180"/>
        </w:trPr>
        <w:tc>
          <w:tcPr>
            <w:tcW w:w="4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Interest expense, net</w:t>
            </w:r>
            <w:r>
              <w:rPr>
                <w:rFonts w:ascii="Times New Roman" w:cs="Times New Roman" w:eastAsia="Times New Roman" w:hAnsi="Times New Roman"/>
                <w:sz w:val="18"/>
                <w:szCs w:val="18"/>
                <w:color w:val="auto"/>
                <w:vertAlign w:val="superscript"/>
              </w:rPr>
              <w:t>(1)</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Borders>
              <w:right w:val="single" w:sz="8" w:color="auto"/>
            </w:tcBorders>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00" w:type="dxa"/>
            <w:vAlign w:val="bottom"/>
            <w:tcBorders>
              <w:right w:val="single" w:sz="8" w:color="auto"/>
            </w:tcBorders>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00" w:type="dxa"/>
            <w:vAlign w:val="bottom"/>
            <w:tcBorders>
              <w:bottom w:val="single" w:sz="8" w:color="CCEEFF"/>
              <w:right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(50,183)</w:t>
            </w:r>
          </w:p>
        </w:tc>
        <w:tc>
          <w:tcPr>
            <w:tcW w:w="100" w:type="dxa"/>
            <w:vAlign w:val="bottom"/>
            <w:tcBorders>
              <w:right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(27,184)</w:t>
            </w:r>
          </w:p>
        </w:tc>
        <w:tc>
          <w:tcPr>
            <w:tcW w:w="80" w:type="dxa"/>
            <w:vAlign w:val="bottom"/>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(77,367)</w:t>
            </w:r>
          </w:p>
        </w:tc>
        <w:tc>
          <w:tcPr>
            <w:tcW w:w="80" w:type="dxa"/>
            <w:vAlign w:val="bottom"/>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(29,752)</w:t>
            </w: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Transaction and other related costs</w:t>
            </w:r>
            <w:r>
              <w:rPr>
                <w:rFonts w:ascii="Times New Roman" w:cs="Times New Roman" w:eastAsia="Times New Roman" w:hAnsi="Times New Roman"/>
                <w:sz w:val="18"/>
                <w:szCs w:val="18"/>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Borders>
              <w:right w:val="single" w:sz="8" w:color="auto"/>
            </w:tcBorders>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11,723</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Change in fair value of financial liabilities</w:t>
            </w:r>
            <w:r>
              <w:rPr>
                <w:rFonts w:ascii="Times New Roman" w:cs="Times New Roman" w:eastAsia="Times New Roman" w:hAnsi="Times New Roman"/>
                <w:sz w:val="18"/>
                <w:szCs w:val="18"/>
                <w:color w:val="auto"/>
                <w:vertAlign w:val="superscript"/>
              </w:rPr>
              <w:t>(3)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20,946</w:t>
            </w:r>
          </w:p>
        </w:tc>
        <w:tc>
          <w:tcPr>
            <w:tcW w:w="100" w:type="dxa"/>
            <w:vAlign w:val="bottom"/>
            <w:tcBorders>
              <w:right w:val="single" w:sz="8" w:color="auto"/>
            </w:tcBorders>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21,424</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80"/>
        </w:trPr>
        <w:tc>
          <w:tcPr>
            <w:tcW w:w="41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Stock based compensation</w:t>
            </w:r>
            <w:r>
              <w:rPr>
                <w:rFonts w:ascii="Times New Roman" w:cs="Times New Roman" w:eastAsia="Times New Roman" w:hAnsi="Times New Roman"/>
                <w:sz w:val="18"/>
                <w:szCs w:val="18"/>
                <w:color w:val="auto"/>
                <w:vertAlign w:val="superscript"/>
              </w:rPr>
              <w:t>(4)</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16,338</w:t>
            </w:r>
          </w:p>
        </w:tc>
        <w:tc>
          <w:tcPr>
            <w:tcW w:w="100" w:type="dxa"/>
            <w:vAlign w:val="bottom"/>
            <w:tcBorders>
              <w:bottom w:val="single" w:sz="8" w:color="CCEEFF"/>
              <w:right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17,394</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(10,590)</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(16,236)</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(26,826)</w:t>
            </w: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(26,156)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5"/>
        <w:spacing w:after="0" w:line="242" w:lineRule="auto"/>
        <w:tabs>
          <w:tab w:leader="none" w:pos="168"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ind w:firstLine="5"/>
        <w:spacing w:after="0" w:line="241" w:lineRule="auto"/>
        <w:tabs>
          <w:tab w:leader="none" w:pos="167"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Transaction and other related costs – For the combined twelve months ended December 31, 2024 and for the Predecessor year ended December 31, 2023 this is comprised entirely of consulting, legal, and other professional fees related to the business combination with Learn CW Investment Corporation (the “Business Combination”).</w:t>
      </w:r>
    </w:p>
    <w:p>
      <w:pPr>
        <w:jc w:val="both"/>
        <w:ind w:firstLine="5"/>
        <w:spacing w:after="0" w:line="241" w:lineRule="auto"/>
        <w:tabs>
          <w:tab w:leader="none" w:pos="163"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jc w:val="both"/>
        <w:ind w:firstLine="5"/>
        <w:spacing w:after="0" w:line="249" w:lineRule="auto"/>
        <w:tabs>
          <w:tab w:leader="none" w:pos="162"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 based compensation – For the combined twelve months ended December 31, 2024 stock based compensation primarily consisted of awards in the 2024 Equity and Incentive Plan entered into on October 2, 2024 subsequent to the Business Combination. These awards consisted of Stock Options, Restricted Stock Units,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 (in thousands, except as otherwise noted)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of Liquidity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assessing liquidity, we monitor and analyze cash on hand and operating expenditure commitments. Our liquidity needs are to meet working capital requirements and operating expense obligations.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components of our current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Predecessor</w:t>
            </w:r>
          </w:p>
        </w:tc>
      </w:tr>
      <w:tr>
        <w:trPr>
          <w:trHeight w:val="30"/>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41"/>
        </w:trPr>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Pr>
          <w:p>
            <w:pPr>
              <w:spacing w:after="0"/>
              <w:rPr>
                <w:sz w:val="12"/>
                <w:szCs w:val="12"/>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30"/>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11,119</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2,475</w:t>
            </w:r>
          </w:p>
        </w:tc>
      </w:tr>
      <w:tr>
        <w:trPr>
          <w:trHeight w:val="151"/>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w:t>
            </w:r>
          </w:p>
        </w:tc>
        <w:tc>
          <w:tcPr>
            <w:tcW w:w="200" w:type="dxa"/>
            <w:vAlign w:val="bottom"/>
          </w:tcPr>
          <w:p>
            <w:pPr>
              <w:spacing w:after="0"/>
              <w:rPr>
                <w:sz w:val="13"/>
                <w:szCs w:val="13"/>
                <w:color w:val="auto"/>
              </w:rPr>
            </w:pPr>
          </w:p>
        </w:tc>
        <w:tc>
          <w:tcPr>
            <w:tcW w:w="14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r>
      <w:tr>
        <w:trPr>
          <w:trHeight w:val="30"/>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Working capital</w:t>
            </w:r>
          </w:p>
        </w:tc>
        <w:tc>
          <w:tcPr>
            <w:tcW w:w="2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(45,061)</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(2,504)</w:t>
            </w:r>
          </w:p>
        </w:tc>
      </w:tr>
      <w:tr>
        <w:trPr>
          <w:trHeight w:val="151"/>
        </w:trPr>
        <w:tc>
          <w:tcPr>
            <w:tcW w:w="8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Accumulated deficit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(78,262)</w:t>
            </w:r>
          </w:p>
        </w:tc>
        <w:tc>
          <w:tcPr>
            <w:tcW w:w="120" w:type="dxa"/>
            <w:vAlign w:val="bottom"/>
            <w:tcBorders>
              <w:right w:val="single" w:sz="8" w:color="auto"/>
            </w:tcBorders>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(64,284)</w:t>
            </w:r>
          </w:p>
        </w:tc>
      </w:tr>
      <w:tr>
        <w:trPr>
          <w:trHeight w:val="30"/>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expectations, we estimate we will require at least $50,000 to meet our liquidity requirements for the next 12 months.</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to satisfy our liquidity requirements through cash on hand, cash generated from the operations of our Operating Companies, the SEPA with Yorkville (maximum remaining availability of approximately $72,000), the Convertible Debentures to be issued to Yorkville, as well as proceeds from additional financings completed by us or our Operating Companies. During the year ended December 31, 2024, the Technology segment raised approximately $18,898 of additional equity financing, in comparison to approximately $250 during the year ended December 31, 2023. In connection with our current business strategy, we intend to conduct additional fundraising of up to $25,000 to fund capital expenditures and other expenses to support the growth of the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Bridge Financing</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20, 2025, the Company entered into agreements to convert and repay the aggregate principal amount of these unsecured promissory notes with the two related parties and, on March 24, 2025, issued shares of the Company’s Series C preferred stock, par value $0.0001 per share (the “Series C Preferred Stock”) and paid cash to settle these unsecured promissory notes with the two unrelated parties. See Item 13. Certain Relationship and Related Transactions, and Director Independence for more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9"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auto"/>
        </w:rPr>
        <w:t>Series B Preferred Stock</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 See further discussion of the Series B Preferred Stock in Note 13. Stockholders' Equity within the notes to the consolidated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Series C Preferred Stock</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Convertible Debentures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March 25, 2025, the Company entered into a securities purchase agreement (the “Securities Purchase Agreement”) to the issuance and sale of convertible debentures (the “Convertible Debentures”) with an aggregate principal amount of up to $30,000. These Convertible Debentures will be convertible into shares of Common Stock (as converted, the “Conversion Shares”). On the first business day after certain closing conditions are met, including the timely filing of this Form 10-K,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 Convertible Debentures will bear interest at an annual rate of 18%. The Convertible Debentures will mature 15 months after the First Closing Date and can be converted into shares of Common Stock at a conversion price to be determined. The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See further discussion of the Convertible Debentures in Note 21. Subsequent Events within the notes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associated with operating, investing and financing activities for the years ended December 31, 2024 and 2023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right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80" w:type="dxa"/>
            <w:vAlign w:val="bottom"/>
          </w:tcPr>
          <w:p>
            <w:pPr>
              <w:spacing w:after="0"/>
              <w:rPr>
                <w:sz w:val="15"/>
                <w:szCs w:val="15"/>
                <w:color w:val="auto"/>
              </w:rPr>
            </w:pPr>
          </w:p>
        </w:tc>
        <w:tc>
          <w:tcPr>
            <w:tcW w:w="13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S/P Combined 2024</w:t>
            </w:r>
          </w:p>
        </w:tc>
        <w:tc>
          <w:tcPr>
            <w:tcW w:w="280" w:type="dxa"/>
            <w:vAlign w:val="bottom"/>
          </w:tcPr>
          <w:p>
            <w:pPr>
              <w:spacing w:after="0"/>
              <w:rPr>
                <w:sz w:val="15"/>
                <w:szCs w:val="15"/>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260" w:type="dxa"/>
            <w:vAlign w:val="bottom"/>
          </w:tcPr>
          <w:p>
            <w:pPr>
              <w:spacing w:after="0"/>
              <w:rPr>
                <w:sz w:val="15"/>
                <w:szCs w:val="15"/>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right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October 2, 2024 through</w:t>
            </w: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January 1, 2024 through</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right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2"/>
                <w:szCs w:val="12"/>
                <w:color w:val="auto"/>
              </w:rPr>
            </w:pPr>
          </w:p>
        </w:tc>
        <w:tc>
          <w:tcPr>
            <w:tcW w:w="13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October 1, 2024</w:t>
            </w: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  Year ended December 31, 2023</w:t>
            </w:r>
          </w:p>
        </w:tc>
        <w:tc>
          <w:tcPr>
            <w:tcW w:w="260" w:type="dxa"/>
            <w:vAlign w:val="bottom"/>
          </w:tcPr>
          <w:p>
            <w:pPr>
              <w:spacing w:after="0"/>
              <w:rPr>
                <w:sz w:val="12"/>
                <w:szCs w:val="12"/>
                <w:color w:val="auto"/>
              </w:rPr>
            </w:pPr>
          </w:p>
        </w:tc>
        <w:tc>
          <w:tcPr>
            <w:tcW w:w="1280" w:type="dxa"/>
            <w:vAlign w:val="bottom"/>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30"/>
        </w:trPr>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(29,214)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(18,848)</w:t>
            </w:r>
          </w:p>
        </w:tc>
        <w:tc>
          <w:tcPr>
            <w:tcW w:w="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(48,062)</w:t>
            </w:r>
          </w:p>
        </w:tc>
        <w:tc>
          <w:tcPr>
            <w:tcW w:w="28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(19,476)</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CCEEFF"/>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(28,586)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146.8 %</w:t>
            </w:r>
          </w:p>
        </w:tc>
        <w:tc>
          <w:tcPr>
            <w:tcW w:w="0" w:type="dxa"/>
            <w:vAlign w:val="bottom"/>
          </w:tcPr>
          <w:p>
            <w:pPr>
              <w:spacing w:after="0"/>
              <w:rPr>
                <w:sz w:val="1"/>
                <w:szCs w:val="1"/>
                <w:color w:val="auto"/>
              </w:rPr>
            </w:pPr>
          </w:p>
        </w:tc>
      </w:tr>
      <w:tr>
        <w:trPr>
          <w:trHeight w:val="151"/>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20" w:type="dxa"/>
            <w:vAlign w:val="bottom"/>
          </w:tcPr>
          <w:p>
            <w:pPr>
              <w:spacing w:after="0"/>
              <w:rPr>
                <w:sz w:val="13"/>
                <w:szCs w:val="13"/>
                <w:color w:val="auto"/>
              </w:rPr>
            </w:pPr>
          </w:p>
        </w:tc>
        <w:tc>
          <w:tcPr>
            <w:tcW w:w="146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6,822</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(5,957)</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5,532</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118.5 %</w:t>
            </w:r>
          </w:p>
        </w:tc>
        <w:tc>
          <w:tcPr>
            <w:tcW w:w="0" w:type="dxa"/>
            <w:vAlign w:val="bottom"/>
          </w:tcPr>
          <w:p>
            <w:pPr>
              <w:spacing w:after="0"/>
              <w:rPr>
                <w:sz w:val="1"/>
                <w:szCs w:val="1"/>
                <w:color w:val="auto"/>
              </w:rPr>
            </w:pPr>
          </w:p>
        </w:tc>
      </w:tr>
      <w:tr>
        <w:trPr>
          <w:trHeight w:val="30"/>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right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33,466</w:t>
            </w:r>
          </w:p>
        </w:tc>
        <w:tc>
          <w:tcPr>
            <w:tcW w:w="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38,441</w:t>
            </w: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71,907</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52,733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275.0 %</w:t>
            </w:r>
          </w:p>
        </w:tc>
        <w:tc>
          <w:tcPr>
            <w:tcW w:w="0" w:type="dxa"/>
            <w:vAlign w:val="bottom"/>
          </w:tcPr>
          <w:p>
            <w:pPr>
              <w:spacing w:after="0"/>
              <w:rPr>
                <w:sz w:val="1"/>
                <w:szCs w:val="1"/>
                <w:color w:val="auto"/>
              </w:rPr>
            </w:pPr>
          </w:p>
        </w:tc>
      </w:tr>
      <w:tr>
        <w:trPr>
          <w:trHeight w:val="122"/>
        </w:trPr>
        <w:tc>
          <w:tcPr>
            <w:tcW w:w="31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Increase (Decrease) in Cash, Cash Equivalents and Restricted</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right w:val="single" w:sz="8" w:color="auto"/>
            </w:tcBorders>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11,074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13,636</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24,710</w:t>
            </w:r>
          </w:p>
        </w:tc>
        <w:tc>
          <w:tcPr>
            <w:tcW w:w="28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(4,969)</w:t>
            </w:r>
          </w:p>
        </w:tc>
        <w:tc>
          <w:tcPr>
            <w:tcW w:w="80" w:type="dxa"/>
            <w:vAlign w:val="bottom"/>
          </w:tcPr>
          <w:p>
            <w:pPr>
              <w:spacing w:after="0"/>
              <w:rPr>
                <w:sz w:val="10"/>
                <w:szCs w:val="10"/>
                <w:color w:val="auto"/>
              </w:rPr>
            </w:pPr>
          </w:p>
        </w:tc>
        <w:tc>
          <w:tcPr>
            <w:tcW w:w="2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29,679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(597.3)%</w:t>
            </w:r>
          </w:p>
        </w:tc>
        <w:tc>
          <w:tcPr>
            <w:tcW w:w="0" w:type="dxa"/>
            <w:vAlign w:val="bottom"/>
          </w:tcPr>
          <w:p>
            <w:pPr>
              <w:spacing w:after="0"/>
              <w:rPr>
                <w:sz w:val="1"/>
                <w:szCs w:val="1"/>
                <w:color w:val="auto"/>
              </w:rPr>
            </w:pPr>
          </w:p>
        </w:tc>
      </w:tr>
      <w:tr>
        <w:trPr>
          <w:trHeight w:val="156"/>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2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right w:val="single" w:sz="8" w:color="auto"/>
            </w:tcBorders>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-565150</wp:posOffset>
            </wp:positionV>
            <wp:extent cx="5397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75" cy="698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flows used in operating activities were $48,062 for the combined twelve months ended December 31, 2024, as compared to $19,476 for the year ended December 31, 2023, an increase of $28,586, or 146.8%. The increase is primarily related to change additional costs incurred in connection with the Business Combination, increased employee compensation costs associated with increased headcount. In addition, there was an increase in R&amp;D costs at the Technology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(Used in) by Investing Activities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Provided by Financing Activities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flows provided by financing activities were $71,907 for the year ended December 31, 2024, as compared to $19,174 for the year ended December 31, 2023, an increase of $52,733 or 275.0%.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is primarily related to proceeds from issuance of equity and debt financing, partially offset by increased repayment of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Indebtedness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5. Borrowings to our consolidated financial statements for the years ended December 31, 2024 and 2023 included in Item 8 of this Form 10-K for a discussion of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our contractual obligations, including payments due by period, as of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2"/>
                <w:szCs w:val="12"/>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Pr>
          <w:p>
            <w:pPr>
              <w:spacing w:after="0"/>
              <w:rPr>
                <w:sz w:val="12"/>
                <w:szCs w:val="1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4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9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16"/>
                <w:szCs w:val="16"/>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34,725</w:t>
            </w: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6423660</wp:posOffset>
            </wp:positionH>
            <wp:positionV relativeFrom="paragraph">
              <wp:posOffset>-443865</wp:posOffset>
            </wp:positionV>
            <wp:extent cx="539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-443865</wp:posOffset>
            </wp:positionV>
            <wp:extent cx="5397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4941570</wp:posOffset>
            </wp:positionH>
            <wp:positionV relativeFrom="paragraph">
              <wp:posOffset>-443865</wp:posOffset>
            </wp:positionV>
            <wp:extent cx="539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-443865</wp:posOffset>
            </wp:positionV>
            <wp:extent cx="539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975" cy="698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-443865</wp:posOffset>
            </wp:positionV>
            <wp:extent cx="539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975" cy="698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49" w:right="31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4"/>
          <w:szCs w:val="14"/>
          <w:color w:val="auto"/>
        </w:rPr>
        <w:t>dependent upon achieving a level of revenues from our Operating Companies adequate to support our 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4"/>
          <w:szCs w:val="14"/>
          <w:i w:val="1"/>
          <w:iCs w:val="1"/>
          <w:color w:val="auto"/>
        </w:rPr>
        <w:t>Disclosures of Uncertainties about an Entity’s Ability to Continue as a Going Concern</w:t>
      </w:r>
      <w:r>
        <w:rPr>
          <w:rFonts w:ascii="Times New Roman" w:cs="Times New Roman" w:eastAsia="Times New Roman" w:hAnsi="Times New Roman"/>
          <w:sz w:val="14"/>
          <w:szCs w:val="14"/>
          <w:color w:val="auto"/>
        </w:rPr>
        <w:t>,” management has determined that these conditions raise substantial doubt about our ability to continue as a going concern within one year after the date of the consolidated financial statements included in Item 8 of this Form 10-K.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101" w:lineRule="exact"/>
        <w:rPr>
          <w:sz w:val="20"/>
          <w:szCs w:val="20"/>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available sources of financing from banks and other financial institutions;</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financing; or</w:t>
      </w:r>
    </w:p>
    <w:p>
      <w:pPr>
        <w:spacing w:after="0" w:line="136"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support from our related parties and shareholders.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“Item 1A. Risk Factors – Risks Related to Innventure’s Business – There is uncertainty regarding Innventure’s ability to maintain liquidity sufficient to operate its business effectively, which raises substantial doubt about its ability to continue as a going concern.”</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have been prepared assuming that we will continue as a going concern and, accordingly, do not include any adjustments that might result from the outcome of this uncertainty.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Refer to Note 2. Accounting Policies to our consolidated financial statements for the years ended December 31, 2024 and 2023 included in Item 8 of this Form 10-K for a discussion of our critical accounting policies.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a smaller reporting company, as defined in Rule 12b-2 under the Exchange Act, for this reporting period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9" w:lineRule="exact"/>
        <w:rPr>
          <w:sz w:val="20"/>
          <w:szCs w:val="20"/>
          <w:color w:val="auto"/>
        </w:rPr>
      </w:pPr>
    </w:p>
    <w:p>
      <w:pPr>
        <w:ind w:left="20"/>
        <w:spacing w:after="0"/>
        <w:tabs>
          <w:tab w:leader="none" w:pos="10580" w:val="left"/>
        </w:tabs>
        <w:rPr>
          <w:sz w:val="20"/>
          <w:szCs w:val="20"/>
          <w:color w:val="auto"/>
        </w:rPr>
      </w:pPr>
      <w:r>
        <w:rPr>
          <w:rFonts w:ascii="Times New Roman" w:cs="Times New Roman" w:eastAsia="Times New Roman" w:hAnsi="Times New Roman"/>
          <w:sz w:val="14"/>
          <w:szCs w:val="14"/>
          <w:b w:val="1"/>
          <w:bCs w:val="1"/>
          <w:color w:val="auto"/>
        </w:rPr>
        <w:t>Consolidated Financial Statements</w:t>
      </w:r>
      <w:r>
        <w:rPr>
          <w:sz w:val="20"/>
          <w:szCs w:val="20"/>
          <w:color w:val="auto"/>
        </w:rPr>
        <w:tab/>
      </w:r>
      <w:r>
        <w:rPr>
          <w:rFonts w:ascii="Times New Roman" w:cs="Times New Roman" w:eastAsia="Times New Roman" w:hAnsi="Times New Roman"/>
          <w:sz w:val="11"/>
          <w:szCs w:val="11"/>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20"/>
          </w:cols>
          <w:pgMar w:left="300" w:top="1311" w:right="579" w:bottom="1440" w:gutter="0" w:footer="0" w:header="0"/>
        </w:sectPr>
      </w:pP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(BDO USA, P.C.; PCAOB ID#243)</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Consolidated Balance Sheets as of December 31, 2024 and 2023</w:t>
      </w:r>
    </w:p>
    <w:p>
      <w:pPr>
        <w:spacing w:after="0" w:line="51" w:lineRule="exact"/>
        <w:rPr>
          <w:sz w:val="20"/>
          <w:szCs w:val="20"/>
          <w:color w:val="auto"/>
        </w:rPr>
      </w:pPr>
    </w:p>
    <w:p>
      <w:pPr>
        <w:ind w:left="20" w:right="20"/>
        <w:spacing w:after="0" w:line="284" w:lineRule="auto"/>
        <w:rPr>
          <w:sz w:val="20"/>
          <w:szCs w:val="20"/>
          <w:color w:val="auto"/>
        </w:rPr>
      </w:pPr>
      <w:r>
        <w:rPr>
          <w:rFonts w:ascii="Times New Roman" w:cs="Times New Roman" w:eastAsia="Times New Roman" w:hAnsi="Times New Roman"/>
          <w:sz w:val="14"/>
          <w:szCs w:val="14"/>
          <w:color w:val="auto"/>
        </w:rPr>
        <w:t>Consolidated Statements of Operations and Comprehensive Income (Loss) for the period October 2, 2024 through December 31, 2024 (Successor), January 1, 2024 through October 1, 2024 (Predecessor) and the year ended December 31, 2023 (Predecessor)</w:t>
      </w:r>
    </w:p>
    <w:p>
      <w:pPr>
        <w:spacing w:after="0" w:line="1" w:lineRule="exact"/>
        <w:rPr>
          <w:sz w:val="20"/>
          <w:szCs w:val="20"/>
          <w:color w:val="auto"/>
        </w:rPr>
      </w:pPr>
    </w:p>
    <w:p>
      <w:pPr>
        <w:ind w:left="20" w:right="780"/>
        <w:spacing w:after="0" w:line="284" w:lineRule="auto"/>
        <w:rPr>
          <w:sz w:val="20"/>
          <w:szCs w:val="20"/>
          <w:color w:val="auto"/>
        </w:rPr>
      </w:pPr>
      <w:r>
        <w:rPr>
          <w:rFonts w:ascii="Times New Roman" w:cs="Times New Roman" w:eastAsia="Times New Roman" w:hAnsi="Times New Roman"/>
          <w:sz w:val="14"/>
          <w:szCs w:val="14"/>
          <w:color w:val="auto"/>
        </w:rPr>
        <w:t>Consolidated Statement of Changes in Mezzanine Capital for the period January 1, 2024 through October 1, 2024 (Predecessor) and the year ended December 31, 2023 (Predecessor).</w:t>
      </w:r>
    </w:p>
    <w:p>
      <w:pPr>
        <w:spacing w:after="0" w:line="1" w:lineRule="exact"/>
        <w:rPr>
          <w:sz w:val="20"/>
          <w:szCs w:val="20"/>
          <w:color w:val="auto"/>
        </w:rPr>
      </w:pPr>
    </w:p>
    <w:p>
      <w:pPr>
        <w:ind w:left="20" w:right="400"/>
        <w:spacing w:after="0" w:line="284" w:lineRule="auto"/>
        <w:rPr>
          <w:sz w:val="20"/>
          <w:szCs w:val="20"/>
          <w:color w:val="auto"/>
        </w:rPr>
      </w:pPr>
      <w:r>
        <w:rPr>
          <w:rFonts w:ascii="Times New Roman" w:cs="Times New Roman" w:eastAsia="Times New Roman" w:hAnsi="Times New Roman"/>
          <w:sz w:val="14"/>
          <w:szCs w:val="14"/>
          <w:color w:val="auto"/>
        </w:rPr>
        <w:t>Consolidated Statement of Changes in Stockholders’ Equity for the period October 2, 2024 through December 31, 2024 (Successor), January 1, 2024 through October 1, 2024 (Predecessor) and the year ended December 31, 2023 (Predecessor)</w:t>
      </w:r>
    </w:p>
    <w:p>
      <w:pPr>
        <w:spacing w:after="0" w:line="1"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4"/>
          <w:szCs w:val="14"/>
          <w:color w:val="auto"/>
        </w:rPr>
        <w:t>Consolidated Statements of Cash Flows for the period October 2, 2024 through December 31, 2024 (Successor), January 1, 2024 through October 1, 2024 (Predecessor) and the year ended December 31, 2023 (Predecessor)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68</w:t>
      </w:r>
    </w:p>
    <w:p>
      <w:pPr>
        <w:spacing w:after="0" w:line="200" w:lineRule="exact"/>
        <w:rPr>
          <w:sz w:val="20"/>
          <w:szCs w:val="20"/>
          <w:color w:val="auto"/>
        </w:rPr>
      </w:pPr>
    </w:p>
    <w:p>
      <w:pPr>
        <w:sectPr>
          <w:pgSz w:w="11900" w:h="16838" w:orient="portrait"/>
          <w:cols w:equalWidth="0" w:num="2">
            <w:col w:w="10280" w:space="460"/>
            <w:col w:w="280"/>
          </w:cols>
          <w:pgMar w:left="300" w:top="1311"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311" w:right="5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Orlando, FL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Going Concern Uncertainty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59" w:name="page60"/>
    <w:bookmarkEnd w:id="59"/>
    <w:p>
      <w:pPr>
        <w:jc w:val="both"/>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BDO USA, P.C.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Raleigh, North Carolina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Predecessor</w:t>
            </w:r>
          </w:p>
        </w:tc>
      </w:tr>
      <w:tr>
        <w:trPr>
          <w:trHeight w:val="131"/>
        </w:trPr>
        <w:tc>
          <w:tcPr>
            <w:tcW w:w="8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1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6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Cash, cash equivalents and restricted cash</w:t>
            </w: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11,119</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2,575</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receivable</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Due from related parties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4,536</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2,602</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Inventories</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5,178</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3,170</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487</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1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24,286</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5,664</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Investments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28,734</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14,167</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Property, plant and equipment, net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1,414</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637</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Intangible assets, net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182,153</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Goodwill</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667,936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assets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1,096</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905,289</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21,564</w:t>
            </w:r>
          </w:p>
        </w:tc>
      </w:tr>
      <w:tr>
        <w:trPr>
          <w:trHeight w:val="136"/>
        </w:trPr>
        <w:tc>
          <w:tcPr>
            <w:tcW w:w="8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Accounts payable</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3,248</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Accrued employee benefits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9,273</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3,779</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Accrued expenses</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2,478</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1,009</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Related party payables</w:t>
            </w: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347</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Related party notes payable - current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14,000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1,000</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Notes payable - current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912</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Patent installment payable - current</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775</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Obligation to issue equity</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4,158</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Warrant liability</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34,023</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253</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69,347</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8,168</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Notes payable, net of current portion</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13,654</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999</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Convertible promissory note, net</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1,120</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Convertible promissory note due to related party, net</w:t>
            </w: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3,381</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Embedded derivative liability</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1,994</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Earnout liability</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14,752</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Stock-based compensation liability</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Patent installment payable, net of current</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12,375</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13,075</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Deferred income taxes</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27,353</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liabilities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683</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16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138,996</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29,420</w:t>
            </w:r>
          </w:p>
        </w:tc>
      </w:tr>
      <w:tr>
        <w:trPr>
          <w:trHeight w:val="136"/>
        </w:trPr>
        <w:tc>
          <w:tcPr>
            <w:tcW w:w="8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Commitments and Contingencies (Note 19)</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Mezzanine Capital</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Redeemable Class I Units, no par value, 1,000,000 units authorized, issued and outstanding as of December 31, 2023</w:t>
            </w: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2,912</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Redeemable Class PCTA Units, no par value, 3,982,675 units authorized, issued and outstanding as of December 31, 2023</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7,718</w:t>
            </w:r>
          </w:p>
        </w:tc>
      </w:tr>
      <w:tr>
        <w:trPr>
          <w:trHeight w:val="136"/>
        </w:trPr>
        <w:tc>
          <w:tcPr>
            <w:tcW w:w="8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 Equity / Unitholders' Deficit</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Class B Preferred Units, no par value, 4,639,557 units authorized, and 4,109,961 units issued and outstanding as of December 31, 2023</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38,122</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B-1 Preferred Units, no par value, 2,600,000 units authorized, and 342,608 units issued and outstanding as of December 31, 2023</w:t>
            </w: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3,323</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Class A Units, no par value, 10,975,000 units authorized, and 10,875,000 units issued and outstanding as of December 31, 2023</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1,950</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C Units, no par value, 1,585,125 units authorized, and 1,570,125 units issued and outstanding as of December 31, 2023</w:t>
            </w:r>
          </w:p>
        </w:tc>
        <w:tc>
          <w:tcPr>
            <w:tcW w:w="160" w:type="dxa"/>
            <w:vAlign w:val="bottom"/>
          </w:tcPr>
          <w:p>
            <w:pPr>
              <w:spacing w:after="0"/>
              <w:rPr>
                <w:sz w:val="11"/>
                <w:szCs w:val="11"/>
                <w:color w:val="auto"/>
              </w:rPr>
            </w:pPr>
          </w:p>
        </w:tc>
        <w:tc>
          <w:tcPr>
            <w:tcW w:w="12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844</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Preferred Stock, $0.0001 par value, 25,000,000 shares authorized, and 1,102,000 shares issued and outstanding as of December 31, 2024</w:t>
            </w:r>
          </w:p>
        </w:tc>
        <w:tc>
          <w:tcPr>
            <w:tcW w:w="1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Stock, $0.0001 par value, 250,000,000 shares authorized, and 44,597,154 shares issued and outstanding as of December 31, 2024</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6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502,865</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84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Accumulated other comprehensive gain (loss)</w:t>
            </w:r>
          </w:p>
        </w:tc>
        <w:tc>
          <w:tcPr>
            <w:tcW w:w="1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909</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5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Accumulated deficit</w:t>
            </w: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(78,262)</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(64,284)</w:t>
            </w:r>
          </w:p>
        </w:tc>
      </w:tr>
      <w:tr>
        <w:trPr>
          <w:trHeight w:val="127"/>
        </w:trPr>
        <w:tc>
          <w:tcPr>
            <w:tcW w:w="8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Innventure, Inc., Stockholders’ Equity/ Innventure LLC Unitholders' Deficit</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425,516</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(20,045)</w:t>
            </w:r>
          </w:p>
        </w:tc>
      </w:tr>
      <w:tr>
        <w:trPr>
          <w:trHeight w:val="23"/>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59"/>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340,777</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1,559</w:t>
            </w:r>
          </w:p>
        </w:tc>
      </w:tr>
      <w:tr>
        <w:trPr>
          <w:trHeight w:val="127"/>
        </w:trPr>
        <w:tc>
          <w:tcPr>
            <w:tcW w:w="84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Stockholders' Equity/ Unitholders' Deficit</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766,293</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(18,486)</w:t>
            </w:r>
          </w:p>
        </w:tc>
      </w:tr>
      <w:tr>
        <w:trPr>
          <w:trHeight w:val="23"/>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Mezzanine Capital and Equity</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905,289</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21,564</w:t>
            </w:r>
          </w:p>
        </w:tc>
      </w:tr>
      <w:tr>
        <w:trPr>
          <w:trHeight w:val="20"/>
        </w:trPr>
        <w:tc>
          <w:tcPr>
            <w:tcW w:w="8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160" w:type="dxa"/>
            <w:vAlign w:val="bottom"/>
            <w:tcBorders>
              <w:bottom w:val="single" w:sz="8" w:color="auto"/>
            </w:tcBorders>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6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860" w:type="dxa"/>
            <w:vAlign w:val="bottom"/>
            <w:tcBorders>
              <w:bottom w:val="single" w:sz="8" w:color="auto"/>
            </w:tcBorders>
          </w:tcPr>
          <w:p>
            <w:pPr>
              <w:spacing w:after="0"/>
              <w:rPr>
                <w:sz w:val="15"/>
                <w:szCs w:val="15"/>
                <w:color w:val="auto"/>
              </w:rPr>
            </w:pPr>
          </w:p>
        </w:tc>
      </w:tr>
      <w:tr>
        <w:trPr>
          <w:trHeight w:val="136"/>
        </w:trPr>
        <w:tc>
          <w:tcPr>
            <w:tcW w:w="6120" w:type="dxa"/>
            <w:vAlign w:val="bottom"/>
          </w:tcPr>
          <w:p>
            <w:pPr>
              <w:spacing w:after="0"/>
              <w:rPr>
                <w:sz w:val="11"/>
                <w:szCs w:val="11"/>
                <w:color w:val="auto"/>
              </w:rPr>
            </w:pPr>
          </w:p>
        </w:tc>
        <w:tc>
          <w:tcPr>
            <w:tcW w:w="18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October 2, 2024 through December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January 1, 2024 through</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6120" w:type="dxa"/>
            <w:vAlign w:val="bottom"/>
          </w:tcPr>
          <w:p>
            <w:pPr>
              <w:spacing w:after="0"/>
              <w:rPr>
                <w:sz w:val="12"/>
                <w:szCs w:val="12"/>
                <w:color w:val="auto"/>
              </w:rPr>
            </w:pPr>
          </w:p>
        </w:tc>
        <w:tc>
          <w:tcPr>
            <w:tcW w:w="1160" w:type="dxa"/>
            <w:vAlign w:val="bottom"/>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31, 2024</w:t>
            </w: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October 1,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30"/>
        </w:trPr>
        <w:tc>
          <w:tcPr>
            <w:tcW w:w="6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1"/>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160" w:type="dxa"/>
            <w:vAlign w:val="bottom"/>
            <w:tcBorders>
              <w:bottom w:val="single" w:sz="8" w:color="CCEEFF"/>
            </w:tcBorders>
            <w:shd w:val="clear" w:color="auto" w:fill="CCEEFF"/>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456</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764</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1,117</w:t>
            </w:r>
          </w:p>
        </w:tc>
      </w:tr>
      <w:tr>
        <w:trPr>
          <w:trHeight w:val="212"/>
        </w:trPr>
        <w:tc>
          <w:tcPr>
            <w:tcW w:w="6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Cost of sales</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3,752</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29,652</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26,608</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w:t>
            </w: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Sales and marketing</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3,205</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5,340</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4,001</w:t>
            </w:r>
          </w:p>
        </w:tc>
      </w:tr>
      <w:tr>
        <w:trPr>
          <w:trHeight w:val="141"/>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40,753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37,541</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24,795</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51"/>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Loss from Operations</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(40,297)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(36,777)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(23,678)</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51"/>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Non-operating (Expense) and Income</w:t>
            </w: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 net</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w:t>
            </w: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gain (loss) from investments</w:t>
            </w:r>
          </w:p>
        </w:tc>
        <w:tc>
          <w:tcPr>
            <w:tcW w:w="11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(loss) gain on investments - due to related parties</w:t>
            </w:r>
          </w:p>
        </w:tc>
        <w:tc>
          <w:tcPr>
            <w:tcW w:w="11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Equity method investment (loss) income</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116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Write-off of loan commitment fee asset</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(10,041)</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Miscellaneous other expense</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6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Non-operating (Expense) Income</w:t>
            </w:r>
          </w:p>
        </w:tc>
        <w:tc>
          <w:tcPr>
            <w:tcW w:w="1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(33,078)</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9,011</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(7,306)</w:t>
            </w:r>
          </w:p>
        </w:tc>
      </w:tr>
      <w:tr>
        <w:trPr>
          <w:trHeight w:val="141"/>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Loss before Income Taxes</w:t>
            </w: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(73,375)</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(27,766)</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(30,984)</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1"/>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1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(70,093)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(28,198)</w:t>
            </w: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(30,984)</w:t>
            </w: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60"/>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Less: net loss attributable to</w:t>
            </w:r>
          </w:p>
        </w:tc>
        <w:tc>
          <w:tcPr>
            <w:tcW w:w="1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51"/>
        </w:trPr>
        <w:tc>
          <w:tcPr>
            <w:tcW w:w="61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Non-redeemable non-controlling interest</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(11,762)</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30"/>
        </w:trPr>
        <w:tc>
          <w:tcPr>
            <w:tcW w:w="6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1"/>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Loss Attributable to Innventure, Inc. Stockholders / Innventure LLC Unitholders</w:t>
            </w:r>
          </w:p>
        </w:tc>
        <w:tc>
          <w:tcPr>
            <w:tcW w:w="1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(61,754)</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(16,436)</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(30,845)</w:t>
            </w:r>
          </w:p>
        </w:tc>
      </w:tr>
      <w:tr>
        <w:trPr>
          <w:trHeight w:val="192"/>
        </w:trPr>
        <w:tc>
          <w:tcPr>
            <w:tcW w:w="6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160"/>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Basic and diluted loss per share</w:t>
            </w:r>
          </w:p>
        </w:tc>
        <w:tc>
          <w:tcPr>
            <w:tcW w:w="1160" w:type="dxa"/>
            <w:vAlign w:val="bottom"/>
            <w:tcBorders>
              <w:bottom w:val="single" w:sz="8" w:color="CCEEFF"/>
            </w:tcBorders>
            <w:shd w:val="clear" w:color="auto" w:fill="CCEEFF"/>
          </w:tcPr>
          <w:p>
            <w:pPr>
              <w:jc w:val="right"/>
              <w:ind w:right="10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51"/>
        </w:trPr>
        <w:tc>
          <w:tcPr>
            <w:tcW w:w="61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Basic and diluted weighted average common shares</w:t>
            </w: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43,951,279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0"/>
        </w:trPr>
        <w:tc>
          <w:tcPr>
            <w:tcW w:w="6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2"/>
        </w:trPr>
        <w:tc>
          <w:tcPr>
            <w:tcW w:w="6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54"/>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net of taxes:</w:t>
            </w: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6"/>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Unrealized gain on available-for-sale debt securities - related party</w:t>
            </w:r>
          </w:p>
        </w:tc>
        <w:tc>
          <w:tcPr>
            <w:tcW w:w="1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other comprehensive loss, net of taxes</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909</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17"/>
        </w:trPr>
        <w:tc>
          <w:tcPr>
            <w:tcW w:w="6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145"/>
        </w:trPr>
        <w:tc>
          <w:tcPr>
            <w:tcW w:w="6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comprehensive loss, net of taxes</w:t>
            </w:r>
          </w:p>
        </w:tc>
        <w:tc>
          <w:tcPr>
            <w:tcW w:w="1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(69,184)</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(28,136)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(30,984)</w:t>
            </w:r>
          </w:p>
        </w:tc>
      </w:tr>
      <w:tr>
        <w:trPr>
          <w:trHeight w:val="166"/>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Less: comprehensive income attributable to</w:t>
            </w:r>
          </w:p>
        </w:tc>
        <w:tc>
          <w:tcPr>
            <w:tcW w:w="1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r>
        <w:trPr>
          <w:trHeight w:val="171"/>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1"/>
                <w:szCs w:val="11"/>
                <w:color w:val="auto"/>
              </w:rPr>
              <w:t>Non-redeemable non-controlling interest</w:t>
            </w:r>
          </w:p>
        </w:tc>
        <w:tc>
          <w:tcPr>
            <w:tcW w:w="1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(8,339)</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(11,762)</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r>
      <w:tr>
        <w:trPr>
          <w:trHeight w:val="15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Comprehensive Loss Attributable to Innventure, Inc. Stockholders / Innventure LLC Unitholders</w:t>
            </w:r>
          </w:p>
        </w:tc>
        <w:tc>
          <w:tcPr>
            <w:tcW w:w="1160" w:type="dxa"/>
            <w:vAlign w:val="bottom"/>
            <w:tcBorders>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(60,845)</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(16,374)</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(30,845)</w:t>
            </w: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Mezzanine Capital (Predecessor)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Class I Amount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6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tcBorders>
              <w:bottom w:val="single" w:sz="8" w:color="CCEEFF"/>
            </w:tcBorders>
            <w:shd w:val="clear" w:color="auto" w:fill="CCEEFF"/>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12,882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15,866</w:t>
            </w:r>
          </w:p>
        </w:tc>
      </w:tr>
      <w:tr>
        <w:trPr>
          <w:trHeight w:val="191"/>
        </w:trPr>
        <w:tc>
          <w:tcPr>
            <w:tcW w:w="6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capital calls to unitholders</w:t>
            </w:r>
          </w:p>
        </w:tc>
        <w:tc>
          <w:tcPr>
            <w:tcW w:w="11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22"/>
        </w:trPr>
        <w:tc>
          <w:tcPr>
            <w:tcW w:w="6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2,912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7,718</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10,630</w:t>
            </w:r>
          </w:p>
        </w:tc>
      </w:tr>
      <w:tr>
        <w:trPr>
          <w:trHeight w:val="22"/>
        </w:trPr>
        <w:tc>
          <w:tcPr>
            <w:tcW w:w="6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180" w:type="dxa"/>
            <w:vAlign w:val="bottom"/>
            <w:tcBorders>
              <w:top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4,477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18,103</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22,580</w:t>
            </w:r>
          </w:p>
        </w:tc>
      </w:tr>
      <w:tr>
        <w:trPr>
          <w:trHeight w:val="22"/>
        </w:trPr>
        <w:tc>
          <w:tcPr>
            <w:tcW w:w="6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4"/>
                <w:szCs w:val="14"/>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0"/>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Controlling</w:t>
            </w:r>
          </w:p>
        </w:tc>
        <w:tc>
          <w:tcPr>
            <w:tcW w:w="120" w:type="dxa"/>
            <w:vAlign w:val="bottom"/>
          </w:tcPr>
          <w:p>
            <w:pPr>
              <w:spacing w:after="0"/>
              <w:rPr>
                <w:sz w:val="14"/>
                <w:szCs w:val="14"/>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Unitholders'</w:t>
            </w:r>
          </w:p>
        </w:tc>
      </w:tr>
      <w:tr>
        <w:trPr>
          <w:trHeight w:val="186"/>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2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22"/>
        </w:trPr>
        <w:tc>
          <w:tcPr>
            <w:tcW w:w="3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 (Predecessor)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20,803</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(38,564)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(11,193)</w:t>
            </w:r>
          </w:p>
        </w:tc>
      </w:tr>
      <w:tr>
        <w:trPr>
          <w:trHeight w:val="19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9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units, net of issuance costs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19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to unitholders</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w:t>
            </w:r>
          </w:p>
        </w:tc>
      </w:tr>
      <w:tr>
        <w:trPr>
          <w:trHeight w:val="18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(28,198)</w:t>
            </w:r>
          </w:p>
        </w:tc>
      </w:tr>
      <w:tr>
        <w:trPr>
          <w:trHeight w:val="19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Units issued to non-controlling interest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r>
      <w:tr>
        <w:trPr>
          <w:trHeight w:val="191"/>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units, net of issuance costs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13,561</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176"/>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units to non-controlling interest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3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of convertible promissory notes</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8,443</w:t>
            </w:r>
          </w:p>
        </w:tc>
      </w:tr>
      <w:tr>
        <w:trPr>
          <w:trHeight w:val="22"/>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r>
      <w:tr>
        <w:trPr>
          <w:trHeight w:val="18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1, 2024 (Predecessor)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51,683</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(92,670)</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62</w:t>
            </w: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13,080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(21,591)</w:t>
            </w:r>
          </w:p>
        </w:tc>
      </w:tr>
      <w:tr>
        <w:trPr>
          <w:trHeight w:val="22"/>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line="20" w:lineRule="exact"/>
              <w:rPr>
                <w:sz w:val="1"/>
                <w:szCs w:val="1"/>
                <w:color w:val="auto"/>
              </w:rPr>
            </w:pPr>
          </w:p>
        </w:tc>
        <w:tc>
          <w:tcPr>
            <w:tcW w:w="94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0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6"/>
                <w:szCs w:val="16"/>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 2024 (Successor)</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11,342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(15,845)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(4,503)</w:t>
            </w:r>
          </w:p>
        </w:tc>
        <w:tc>
          <w:tcPr>
            <w:tcW w:w="0" w:type="dxa"/>
            <w:vAlign w:val="bottom"/>
          </w:tcPr>
          <w:p>
            <w:pPr>
              <w:spacing w:after="0"/>
              <w:rPr>
                <w:sz w:val="1"/>
                <w:szCs w:val="1"/>
                <w:color w:val="auto"/>
              </w:rPr>
            </w:pPr>
          </w:p>
        </w:tc>
      </w:tr>
      <w:tr>
        <w:trPr>
          <w:trHeight w:val="191"/>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acquisition of Innventure LLC</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43,589,850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461,064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804,098</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Reclassification of warrants from liability to</w:t>
            </w: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76"/>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shares, net of issuance</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preferred shares, net of issuance</w:t>
            </w: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1,102,000</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0" w:type="dxa"/>
            <w:vAlign w:val="bottom"/>
          </w:tcPr>
          <w:p>
            <w:pPr>
              <w:spacing w:after="0"/>
              <w:rPr>
                <w:sz w:val="1"/>
                <w:szCs w:val="1"/>
                <w:color w:val="auto"/>
              </w:rPr>
            </w:pPr>
          </w:p>
        </w:tc>
      </w:tr>
      <w:tr>
        <w:trPr>
          <w:trHeight w:val="176"/>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shares from warrant</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exercises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(70,093)</w:t>
            </w:r>
          </w:p>
        </w:tc>
        <w:tc>
          <w:tcPr>
            <w:tcW w:w="0" w:type="dxa"/>
            <w:vAlign w:val="bottom"/>
          </w:tcPr>
          <w:p>
            <w:pPr>
              <w:spacing w:after="0"/>
              <w:rPr>
                <w:sz w:val="1"/>
                <w:szCs w:val="1"/>
                <w:color w:val="auto"/>
              </w:rPr>
            </w:pPr>
          </w:p>
        </w:tc>
      </w:tr>
      <w:tr>
        <w:trPr>
          <w:trHeight w:val="191"/>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gain, net of taxes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0" w:type="dxa"/>
            <w:vAlign w:val="bottom"/>
          </w:tcPr>
          <w:p>
            <w:pPr>
              <w:spacing w:after="0"/>
              <w:rPr>
                <w:sz w:val="1"/>
                <w:szCs w:val="1"/>
                <w:color w:val="auto"/>
              </w:rPr>
            </w:pPr>
          </w:p>
        </w:tc>
      </w:tr>
      <w:tr>
        <w:trPr>
          <w:trHeight w:val="191"/>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Stockholders</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contingent at risk sponsor shares</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587,995</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16,338</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preferred dividends</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1,102,000</w:t>
            </w:r>
          </w:p>
        </w:tc>
        <w:tc>
          <w:tcPr>
            <w:tcW w:w="6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44,597,154</w:t>
            </w:r>
          </w:p>
        </w:tc>
        <w:tc>
          <w:tcPr>
            <w:tcW w:w="6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502,865</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(78,262)</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909</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340,777</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766,293</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Successor</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Predecessor</w:t>
            </w:r>
          </w:p>
        </w:tc>
        <w:tc>
          <w:tcPr>
            <w:tcW w:w="1400" w:type="dxa"/>
            <w:vAlign w:val="bottom"/>
            <w:tcBorders>
              <w:bottom w:val="single" w:sz="8" w:color="auto"/>
            </w:tcBorders>
          </w:tcPr>
          <w:p>
            <w:pPr>
              <w:spacing w:after="0"/>
              <w:rPr>
                <w:sz w:val="12"/>
                <w:szCs w:val="12"/>
                <w:color w:val="auto"/>
              </w:rPr>
            </w:pPr>
          </w:p>
        </w:tc>
      </w:tr>
      <w:tr>
        <w:trPr>
          <w:trHeight w:val="119"/>
        </w:trPr>
        <w:tc>
          <w:tcPr>
            <w:tcW w:w="6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October 2, 2024 through December 31, 2024</w:t>
            </w:r>
          </w:p>
        </w:tc>
        <w:tc>
          <w:tcPr>
            <w:tcW w:w="60" w:type="dxa"/>
            <w:vAlign w:val="bottom"/>
          </w:tcPr>
          <w:p>
            <w:pPr>
              <w:spacing w:after="0"/>
              <w:rPr>
                <w:sz w:val="10"/>
                <w:szCs w:val="1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January 1, 2024 through October 1, 2024</w:t>
            </w:r>
          </w:p>
        </w:tc>
        <w:tc>
          <w:tcPr>
            <w:tcW w:w="260" w:type="dxa"/>
            <w:vAlign w:val="bottom"/>
          </w:tcPr>
          <w:p>
            <w:pPr>
              <w:spacing w:after="0"/>
              <w:rPr>
                <w:sz w:val="10"/>
                <w:szCs w:val="10"/>
                <w:color w:val="auto"/>
              </w:rPr>
            </w:pPr>
          </w:p>
        </w:tc>
        <w:tc>
          <w:tcPr>
            <w:tcW w:w="1400" w:type="dxa"/>
            <w:vAlign w:val="bottom"/>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Year ended December 31, 2023</w:t>
            </w:r>
          </w:p>
        </w:tc>
      </w:tr>
      <w:tr>
        <w:trPr>
          <w:trHeight w:val="29"/>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0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Cash Flows Used in Operating Activities</w:t>
            </w:r>
          </w:p>
        </w:tc>
        <w:tc>
          <w:tcPr>
            <w:tcW w:w="60" w:type="dxa"/>
            <w:vAlign w:val="bottom"/>
            <w:tcBorders>
              <w:bottom w:val="single" w:sz="8" w:color="CCEEFF"/>
            </w:tcBorders>
            <w:shd w:val="clear" w:color="auto" w:fill="CCEEFF"/>
          </w:tcPr>
          <w:p>
            <w:pPr>
              <w:spacing w:after="0"/>
              <w:rPr>
                <w:sz w:val="9"/>
                <w:szCs w:val="9"/>
                <w:color w:val="auto"/>
              </w:rPr>
            </w:pPr>
          </w:p>
        </w:tc>
        <w:tc>
          <w:tcPr>
            <w:tcW w:w="16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right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64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1400" w:type="dxa"/>
            <w:vAlign w:val="bottom"/>
            <w:tcBorders>
              <w:bottom w:val="single" w:sz="8" w:color="CCEEFF"/>
            </w:tcBorders>
            <w:shd w:val="clear" w:color="auto" w:fill="CCEEFF"/>
          </w:tcPr>
          <w:p>
            <w:pPr>
              <w:spacing w:after="0"/>
              <w:rPr>
                <w:sz w:val="9"/>
                <w:szCs w:val="9"/>
                <w:color w:val="auto"/>
              </w:rPr>
            </w:pP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Net loss</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(70,093)</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(28,198)</w:t>
            </w:r>
          </w:p>
        </w:tc>
        <w:tc>
          <w:tcPr>
            <w:tcW w:w="80" w:type="dxa"/>
            <w:vAlign w:val="bottom"/>
          </w:tcPr>
          <w:p>
            <w:pPr>
              <w:spacing w:after="0"/>
              <w:rPr>
                <w:sz w:val="10"/>
                <w:szCs w:val="10"/>
                <w:color w:val="auto"/>
              </w:rPr>
            </w:pPr>
          </w:p>
        </w:tc>
        <w:tc>
          <w:tcPr>
            <w:tcW w:w="26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(30,984)</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8"/>
                <w:szCs w:val="8"/>
                <w:i w:val="1"/>
                <w:iCs w:val="1"/>
                <w:color w:val="auto"/>
              </w:rPr>
              <w:t>Adjustments to reconcile net loss to net cash and cash equivalents used in operating activities: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r>
      <w:tr>
        <w:trPr>
          <w:trHeight w:val="119"/>
        </w:trPr>
        <w:tc>
          <w:tcPr>
            <w:tcW w:w="6120" w:type="dxa"/>
            <w:vAlign w:val="bottom"/>
          </w:tcPr>
          <w:p>
            <w:pPr>
              <w:ind w:left="2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16,338</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1,056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910</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Interest income on debt securities - related party</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(110)</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Change in fair value of financial liabilities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20,946</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(766)</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Change in fair value of payables due to related parties</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468</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(232)</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Write-off of loan commitment fee asset</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10,041</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Non-cash interest expense on notes payable</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248</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351</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487</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Net (gain) loss on investments</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(11,547)</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6,448</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Equity method investment gain (loss)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902</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(893)</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632</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Loss on conversion of promissory notes</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1,119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Deferred income taxes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(3,301)</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432</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5,455</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Payment of patent installment</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(250)</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Non-cash rent costs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Accrued unpaid interest on note payable</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69</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930</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i w:val="1"/>
                <w:iCs w:val="1"/>
                <w:color w:val="auto"/>
              </w:rPr>
              <w:t>Changes in operating assets and liabilities:</w:t>
            </w:r>
          </w:p>
        </w:tc>
        <w:tc>
          <w:tcPr>
            <w:tcW w:w="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Accounts receivable</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(117)</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(1,301)</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(1,353)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(218)</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Inventory</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(2,354)</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(2,824)</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Accounts payable</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(11,211)</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6,013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Accrued employee benefits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1,656</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3,838</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3,181</w:t>
            </w:r>
          </w:p>
        </w:tc>
      </w:tr>
      <w:tr>
        <w:trPr>
          <w:trHeight w:val="119"/>
        </w:trPr>
        <w:tc>
          <w:tcPr>
            <w:tcW w:w="61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Accrued expenses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(484)</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1,230</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Stock-based compensation liability</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1,160</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Other current liabilities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(155)</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8"/>
                <w:szCs w:val="8"/>
                <w:color w:val="auto"/>
              </w:rPr>
              <w:t>Obligation to issue equity</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3,000</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10,920</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Other assets</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(218)</w:t>
            </w:r>
          </w:p>
        </w:tc>
      </w:tr>
      <w:tr>
        <w:trPr>
          <w:trHeight w:val="29"/>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6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(29,214)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(18,848)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(19,476)</w:t>
            </w:r>
          </w:p>
        </w:tc>
      </w:tr>
      <w:tr>
        <w:trPr>
          <w:trHeight w:val="107"/>
        </w:trPr>
        <w:tc>
          <w:tcPr>
            <w:tcW w:w="6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r>
      <w:tr>
        <w:trPr>
          <w:trHeight w:val="12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Cash Flows Provided by (Used in) Investing Activities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Purchase of shares in equity method investee</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(2,000)</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Contributions to equity method investee</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(130)</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Investment in debt securities - equity method investee</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(7,400)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(2,600)</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Advances to equity method investee</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(4,240)</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(135)</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20"/>
              <w:spacing w:after="0"/>
              <w:rPr>
                <w:sz w:val="20"/>
                <w:szCs w:val="20"/>
                <w:color w:val="auto"/>
              </w:rPr>
            </w:pPr>
            <w:r>
              <w:rPr>
                <w:rFonts w:ascii="Times New Roman" w:cs="Times New Roman" w:eastAsia="Times New Roman" w:hAnsi="Times New Roman"/>
                <w:sz w:val="8"/>
                <w:szCs w:val="8"/>
                <w:color w:val="auto"/>
              </w:rPr>
              <w:t>Acquisition of property, plant and equipment</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(266)</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(736)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(645)</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Acquisition of intangible assets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200"/>
              <w:spacing w:after="0"/>
              <w:rPr>
                <w:sz w:val="20"/>
                <w:szCs w:val="20"/>
                <w:color w:val="auto"/>
              </w:rPr>
            </w:pPr>
            <w:r>
              <w:rPr>
                <w:rFonts w:ascii="Times New Roman" w:cs="Times New Roman" w:eastAsia="Times New Roman" w:hAnsi="Times New Roman"/>
                <w:sz w:val="8"/>
                <w:szCs w:val="8"/>
                <w:color w:val="auto"/>
              </w:rPr>
              <w:t>Acquisition of net assets, net of cash acquired, through business combination</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rPr>
              <w:t>Proceeds from sale of investments</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2,314</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708</w:t>
            </w:r>
          </w:p>
        </w:tc>
      </w:tr>
      <w:tr>
        <w:trPr>
          <w:trHeight w:val="119"/>
        </w:trPr>
        <w:tc>
          <w:tcPr>
            <w:tcW w:w="6120" w:type="dxa"/>
            <w:vAlign w:val="bottom"/>
          </w:tcPr>
          <w:p>
            <w:pPr>
              <w:ind w:left="200"/>
              <w:spacing w:after="0"/>
              <w:rPr>
                <w:sz w:val="20"/>
                <w:szCs w:val="20"/>
                <w:color w:val="auto"/>
              </w:rPr>
            </w:pPr>
            <w:r>
              <w:rPr>
                <w:rFonts w:ascii="Times New Roman" w:cs="Times New Roman" w:eastAsia="Times New Roman" w:hAnsi="Times New Roman"/>
                <w:sz w:val="8"/>
                <w:szCs w:val="8"/>
                <w:color w:val="auto"/>
              </w:rPr>
              <w:t>Cash withdrawn from trust as a result of business combination</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11,342</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9"/>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Net Cash Provided by (Used in) Investing Activities</w:t>
            </w:r>
          </w:p>
        </w:tc>
        <w:tc>
          <w:tcPr>
            <w:tcW w:w="6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6,822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(5,957)</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(4,667)</w:t>
            </w:r>
          </w:p>
        </w:tc>
      </w:tr>
      <w:tr>
        <w:trPr>
          <w:trHeight w:val="107"/>
        </w:trPr>
        <w:tc>
          <w:tcPr>
            <w:tcW w:w="6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r>
      <w:tr>
        <w:trPr>
          <w:trHeight w:val="12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Cash Flows Provided by Financing Activities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r>
      <w:tr>
        <w:trPr>
          <w:trHeight w:val="119"/>
        </w:trPr>
        <w:tc>
          <w:tcPr>
            <w:tcW w:w="61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Proceeds from issuance of equity, net of issuance costs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15,383</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13,122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16,009</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Proceeds from the issuance of equity to non-controlling interest, net of issuance costs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4,169</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13,859</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337</w:t>
            </w:r>
          </w:p>
        </w:tc>
      </w:tr>
      <w:tr>
        <w:trPr>
          <w:trHeight w:val="119"/>
        </w:trPr>
        <w:tc>
          <w:tcPr>
            <w:tcW w:w="61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Proceeds from the issuance of convertible promissory note</w:t>
            </w:r>
          </w:p>
        </w:tc>
        <w:tc>
          <w:tcPr>
            <w:tcW w:w="60" w:type="dxa"/>
            <w:vAlign w:val="bottom"/>
          </w:tcPr>
          <w:p>
            <w:pPr>
              <w:spacing w:after="0"/>
              <w:rPr>
                <w:sz w:val="10"/>
                <w:szCs w:val="10"/>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2,000</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Proceeds from issuance of debt securities, net of issuance costs</w:t>
            </w:r>
          </w:p>
        </w:tc>
        <w:tc>
          <w:tcPr>
            <w:tcW w:w="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19,455</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119"/>
        </w:trPr>
        <w:tc>
          <w:tcPr>
            <w:tcW w:w="61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Payment of debts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(250)</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Receipt of Capital from Class I Unitholder</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130</w:t>
            </w:r>
          </w:p>
        </w:tc>
      </w:tr>
      <w:tr>
        <w:trPr>
          <w:trHeight w:val="119"/>
        </w:trPr>
        <w:tc>
          <w:tcPr>
            <w:tcW w:w="61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Distributions to Stockholders</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(663)</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(241)</w:t>
            </w:r>
          </w:p>
        </w:tc>
      </w:tr>
      <w:tr>
        <w:trPr>
          <w:trHeight w:val="29"/>
        </w:trPr>
        <w:tc>
          <w:tcPr>
            <w:tcW w:w="6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9"/>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8"/>
                <w:szCs w:val="8"/>
                <w:color w:val="auto"/>
              </w:rPr>
              <w:t>Proceeds from the issuance of promissory notes to related parties</w:t>
            </w:r>
          </w:p>
        </w:tc>
        <w:tc>
          <w:tcPr>
            <w:tcW w:w="60" w:type="dxa"/>
            <w:vAlign w:val="bottom"/>
            <w:tcBorders>
              <w:bottom w:val="single" w:sz="8" w:color="CCEEFF"/>
            </w:tcBorders>
            <w:shd w:val="clear" w:color="auto" w:fill="CCEEFF"/>
          </w:tcPr>
          <w:p>
            <w:pPr>
              <w:spacing w:after="0"/>
              <w:rPr>
                <w:sz w:val="11"/>
                <w:szCs w:val="11"/>
                <w:color w:val="auto"/>
              </w:rPr>
            </w:pPr>
          </w:p>
        </w:tc>
        <w:tc>
          <w:tcPr>
            <w:tcW w:w="17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12,000</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1,004</w:t>
            </w:r>
          </w:p>
        </w:tc>
      </w:tr>
      <w:tr>
        <w:trPr>
          <w:trHeight w:val="119"/>
        </w:trPr>
        <w:tc>
          <w:tcPr>
            <w:tcW w:w="61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Repayment of promissory note</w:t>
            </w:r>
          </w:p>
        </w:tc>
        <w:tc>
          <w:tcPr>
            <w:tcW w:w="60" w:type="dxa"/>
            <w:vAlign w:val="bottom"/>
          </w:tcPr>
          <w:p>
            <w:pPr>
              <w:spacing w:after="0"/>
              <w:rPr>
                <w:sz w:val="10"/>
                <w:szCs w:val="1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(4,628)</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r>
      <w:tr>
        <w:trPr>
          <w:trHeight w:val="29"/>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Cash Flows Provided by Financing Activities</w:t>
            </w:r>
          </w:p>
        </w:tc>
        <w:tc>
          <w:tcPr>
            <w:tcW w:w="6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33,466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38,441</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19,174</w:t>
            </w:r>
          </w:p>
        </w:tc>
      </w:tr>
      <w:tr>
        <w:trPr>
          <w:trHeight w:val="107"/>
        </w:trPr>
        <w:tc>
          <w:tcPr>
            <w:tcW w:w="612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66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right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1400" w:type="dxa"/>
            <w:vAlign w:val="bottom"/>
            <w:tcBorders>
              <w:top w:val="single" w:sz="8" w:color="auto"/>
              <w:bottom w:val="single" w:sz="8" w:color="auto"/>
            </w:tcBorders>
          </w:tcPr>
          <w:p>
            <w:pPr>
              <w:spacing w:after="0"/>
              <w:rPr>
                <w:sz w:val="9"/>
                <w:szCs w:val="9"/>
                <w:color w:val="auto"/>
              </w:rPr>
            </w:pPr>
          </w:p>
        </w:tc>
      </w:tr>
      <w:tr>
        <w:trPr>
          <w:trHeight w:val="13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Net Increase (Decrease) in Cash, Cash Equivalents and Restricted Cash</w:t>
            </w:r>
          </w:p>
        </w:tc>
        <w:tc>
          <w:tcPr>
            <w:tcW w:w="6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11,074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13,636</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(4,969)</w:t>
            </w:r>
          </w:p>
        </w:tc>
      </w:tr>
      <w:tr>
        <w:trPr>
          <w:trHeight w:val="110"/>
        </w:trPr>
        <w:tc>
          <w:tcPr>
            <w:tcW w:w="6120" w:type="dxa"/>
            <w:vAlign w:val="bottom"/>
          </w:tcPr>
          <w:p>
            <w:pPr>
              <w:ind w:left="20"/>
              <w:spacing w:after="0"/>
              <w:rPr>
                <w:sz w:val="20"/>
                <w:szCs w:val="20"/>
                <w:color w:val="auto"/>
              </w:rPr>
            </w:pPr>
            <w:r>
              <w:rPr>
                <w:rFonts w:ascii="Times New Roman" w:cs="Times New Roman" w:eastAsia="Times New Roman" w:hAnsi="Times New Roman"/>
                <w:sz w:val="8"/>
                <w:szCs w:val="8"/>
                <w:color w:val="auto"/>
              </w:rPr>
              <w:t>Cash, Cash Equivalents and Restricted Cash Beginning of period</w:t>
            </w:r>
          </w:p>
        </w:tc>
        <w:tc>
          <w:tcPr>
            <w:tcW w:w="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45</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2,575</w:t>
            </w:r>
          </w:p>
        </w:tc>
        <w:tc>
          <w:tcPr>
            <w:tcW w:w="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7,544</w:t>
            </w:r>
          </w:p>
        </w:tc>
      </w:tr>
      <w:tr>
        <w:trPr>
          <w:trHeight w:val="29"/>
        </w:trPr>
        <w:tc>
          <w:tcPr>
            <w:tcW w:w="6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9"/>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Cash, Cash Equivalents and Restricted Cash End of period</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11,119</w:t>
            </w: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16,211</w:t>
            </w: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2,575</w:t>
            </w:r>
          </w:p>
        </w:tc>
      </w:tr>
      <w:tr>
        <w:trPr>
          <w:trHeight w:val="20"/>
        </w:trPr>
        <w:tc>
          <w:tcPr>
            <w:tcW w:w="6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6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rPr>
              <w:t>Successor</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1231"/>
              <w:spacing w:after="0"/>
              <w:rPr>
                <w:sz w:val="20"/>
                <w:szCs w:val="20"/>
                <w:color w:val="auto"/>
              </w:rPr>
            </w:pPr>
            <w:r>
              <w:rPr>
                <w:rFonts w:ascii="Times New Roman" w:cs="Times New Roman" w:eastAsia="Times New Roman" w:hAnsi="Times New Roman"/>
                <w:sz w:val="10"/>
                <w:szCs w:val="10"/>
                <w:b w:val="1"/>
                <w:bCs w:val="1"/>
                <w:color w:val="auto"/>
              </w:rPr>
              <w:t>Predecessor</w:t>
            </w:r>
          </w:p>
        </w:tc>
      </w:tr>
      <w:tr>
        <w:trPr>
          <w:trHeight w:val="118"/>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October 2, 2024 through December</w:t>
            </w:r>
          </w:p>
        </w:tc>
        <w:tc>
          <w:tcPr>
            <w:tcW w:w="60" w:type="dxa"/>
            <w:vAlign w:val="bottom"/>
          </w:tcPr>
          <w:p>
            <w:pPr>
              <w:spacing w:after="0"/>
              <w:rPr>
                <w:sz w:val="10"/>
                <w:szCs w:val="10"/>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January 1, 2024 through October</w:t>
            </w: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30"/>
        </w:trPr>
        <w:tc>
          <w:tcPr>
            <w:tcW w:w="6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7"/>
              </w:rPr>
              <w:t>31, 2024</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0"/>
                <w:szCs w:val="10"/>
                <w:b w:val="1"/>
                <w:bCs w:val="1"/>
                <w:color w:val="auto"/>
              </w:rPr>
              <w:t>1, 2024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6"/>
              </w:rPr>
              <w:t>Year ended December 31, 2023</w:t>
            </w:r>
          </w:p>
        </w:tc>
      </w:tr>
      <w:tr>
        <w:trPr>
          <w:trHeight w:val="23"/>
        </w:trPr>
        <w:tc>
          <w:tcPr>
            <w:tcW w:w="63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Supplemental Cash Flow Information</w:t>
            </w:r>
          </w:p>
        </w:tc>
        <w:tc>
          <w:tcPr>
            <w:tcW w:w="8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0" w:type="dxa"/>
            <w:vAlign w:val="bottom"/>
            <w:tcBorders>
              <w:bottom w:val="single" w:sz="8" w:color="CCEEFF"/>
            </w:tcBorders>
            <w:shd w:val="clear" w:color="auto" w:fill="CCEEFF"/>
          </w:tcPr>
          <w:p>
            <w:pPr>
              <w:spacing w:after="0"/>
              <w:rPr>
                <w:sz w:val="10"/>
                <w:szCs w:val="10"/>
                <w:color w:val="auto"/>
              </w:rPr>
            </w:pPr>
          </w:p>
        </w:tc>
      </w:tr>
      <w:tr>
        <w:trPr>
          <w:trHeight w:val="136"/>
        </w:trPr>
        <w:tc>
          <w:tcPr>
            <w:tcW w:w="63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1,070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297</w:t>
            </w:r>
          </w:p>
        </w:tc>
      </w:tr>
      <w:tr>
        <w:trPr>
          <w:trHeight w:val="23"/>
        </w:trPr>
        <w:tc>
          <w:tcPr>
            <w:tcW w:w="6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9"/>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Supplemental Disclosure of Noncash Financing Information</w:t>
            </w:r>
          </w:p>
        </w:tc>
        <w:tc>
          <w:tcPr>
            <w:tcW w:w="8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r>
      <w:tr>
        <w:trPr>
          <w:trHeight w:val="136"/>
        </w:trPr>
        <w:tc>
          <w:tcPr>
            <w:tcW w:w="63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Accretion of redeemable units to redemption value</w:t>
            </w:r>
          </w:p>
        </w:tc>
        <w:tc>
          <w:tcPr>
            <w:tcW w:w="80" w:type="dxa"/>
            <w:vAlign w:val="bottom"/>
          </w:tcPr>
          <w:p>
            <w:pPr>
              <w:spacing w:after="0"/>
              <w:rPr>
                <w:sz w:val="11"/>
                <w:szCs w:val="11"/>
                <w:color w:val="auto"/>
              </w:rPr>
            </w:pPr>
          </w:p>
        </w:tc>
        <w:tc>
          <w:tcPr>
            <w:tcW w:w="1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11,950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5,366</w:t>
            </w:r>
          </w:p>
        </w:tc>
      </w:tr>
      <w:tr>
        <w:trPr>
          <w:trHeight w:val="23"/>
        </w:trPr>
        <w:tc>
          <w:tcPr>
            <w:tcW w:w="6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9"/>
        </w:trPr>
        <w:tc>
          <w:tcPr>
            <w:tcW w:w="6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Debt discount and embedded derivative upon issuance</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1,119</w:t>
            </w:r>
          </w:p>
        </w:tc>
      </w:tr>
      <w:tr>
        <w:trPr>
          <w:trHeight w:val="136"/>
        </w:trPr>
        <w:tc>
          <w:tcPr>
            <w:tcW w:w="63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Issuance of units to non-controlling interest in exchange of convertible promissory notes</w:t>
            </w:r>
          </w:p>
        </w:tc>
        <w:tc>
          <w:tcPr>
            <w:tcW w:w="80" w:type="dxa"/>
            <w:vAlign w:val="bottom"/>
          </w:tcPr>
          <w:p>
            <w:pPr>
              <w:spacing w:after="0"/>
              <w:rPr>
                <w:sz w:val="11"/>
                <w:szCs w:val="11"/>
                <w:color w:val="auto"/>
              </w:rPr>
            </w:pPr>
          </w:p>
        </w:tc>
        <w:tc>
          <w:tcPr>
            <w:tcW w:w="16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7,324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6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9"/>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Conversion of working capital loans to equity method investees into investments in debt securities - related party</w:t>
            </w:r>
          </w:p>
        </w:tc>
        <w:tc>
          <w:tcPr>
            <w:tcW w:w="8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63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Transfer of liability warrants to equity warrants in the Business Combination</w:t>
            </w:r>
          </w:p>
        </w:tc>
        <w:tc>
          <w:tcPr>
            <w:tcW w:w="8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6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39"/>
        </w:trPr>
        <w:tc>
          <w:tcPr>
            <w:tcW w:w="6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Initial recognition of loan commitment fee</w:t>
            </w:r>
          </w:p>
        </w:tc>
        <w:tc>
          <w:tcPr>
            <w:tcW w:w="8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16,190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638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Transfer of loan commitment fee asset</w:t>
            </w:r>
          </w:p>
        </w:tc>
        <w:tc>
          <w:tcPr>
            <w:tcW w:w="8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6,694</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23"/>
        </w:trPr>
        <w:tc>
          <w:tcPr>
            <w:tcW w:w="6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Business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Annual Report on Form 10-K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Predecessor consolidated financial statements include all amounts of Innventure LLC and its consolidated subsidiaries. All intercompany transactions and balances have been eliminated in consolidation.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amounts reported previously have been reclassified to conform to the current year presentation with no effect on total stockholders' deficit, or net income as previously reported.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 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w:t>
      </w:r>
    </w:p>
    <w:p>
      <w:pPr>
        <w:spacing w:after="0" w:line="1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categorizes each of its fair value measurements in one of these three levels based on the lowest level input that is significant to the fair value measurement in its entirety. These levels 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 Quoted prices in active markets for identical assets or liabilities.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 Observable inputs other than quoted prices in Level 1, such as quoted prices for similar assets or liabilities in active markets; quoted prices in markets that are not active; or other inputs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are observable or can be corroborated by observable market data.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 Unobservable inputs that are supported by little or no market activity and reflect management’s best estimate of what market participants would use in pricing the asset or liability.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Consideration is given to the risk inherent in the valuation technique and the risk inherent in the inputs to the model.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Method Investments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method investments are investments where the Company does not consolidate the investee, but can exert significant influence over the financial and operating policies of the investee.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Exchange-traded Investments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Exchange-traded equity investments are generally carried at fair value on the consolidated balance sheets with changes in the fair value recorded through net income (“FVTNI”) within non-operating income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Variable Interest and Voting Interest Entities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Impairments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Impairment evaluation considers qualitative factors, including the financial conditions and specific events related to an investee, that may indicate the fair value of the investment is less than its carrying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Available-for-Sale Investments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are stated at the lower of cost or net realizable value. Cost is determined principally under the average cost method.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ind w:right="2160"/>
        <w:spacing w:after="0" w:line="442" w:lineRule="auto"/>
        <w:rPr>
          <w:sz w:val="20"/>
          <w:szCs w:val="20"/>
          <w:color w:val="auto"/>
        </w:rPr>
      </w:pPr>
      <w:r>
        <w:rPr>
          <w:rFonts w:ascii="Times New Roman" w:cs="Times New Roman" w:eastAsia="Times New Roman" w:hAnsi="Times New Roman"/>
          <w:sz w:val="14"/>
          <w:szCs w:val="14"/>
          <w:color w:val="auto"/>
        </w:rPr>
        <w:t xml:space="preserve">depreciated over the revised useful life. Assets to be disposed of are reported at the lower of the carrying value of estimated fair value less estimated costs to sell. </w:t>
      </w:r>
      <w:r>
        <w:rPr>
          <w:rFonts w:ascii="Times New Roman" w:cs="Times New Roman" w:eastAsia="Times New Roman" w:hAnsi="Times New Roman"/>
          <w:sz w:val="14"/>
          <w:szCs w:val="14"/>
          <w:b w:val="1"/>
          <w:bCs w:val="1"/>
          <w:i w:val="1"/>
          <w:iCs w:val="1"/>
          <w:color w:val="auto"/>
        </w:rPr>
        <w:t>Intangible Assets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with finite lives are amortized over their estimated useful lives and reviewed for impairment whenever events or other changes in circumstances indicate that the carrying amount may not be recoverable.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reflects the excess purchase price over the fair value of net tangible and intangible assets acquired in a business combination.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were no impairments of goodwill recognized for the year ended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and Warrants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 return levels, usually 8%. These allocations are considered variable consideration and are recognized when a significant reversal is no longer probable.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participates in multiple stock-based compensation plans which are further discussed in Note 14. Stock-based Compensation.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Expense related to grants of stock-based awards is included in the respective expense category in which the employee serves in the consolidated statements of operations and comprehensive income (loss). The Company recognizes forfeitures as they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June 2022, the FASB issued ASU 2022-03, </w:t>
      </w:r>
      <w:r>
        <w:rPr>
          <w:rFonts w:ascii="Times New Roman" w:cs="Times New Roman" w:eastAsia="Times New Roman" w:hAnsi="Times New Roman"/>
          <w:sz w:val="14"/>
          <w:szCs w:val="14"/>
          <w:i w:val="1"/>
          <w:iCs w:val="1"/>
          <w:color w:val="auto"/>
        </w:rPr>
        <w:t>Fair Value Measurement (Topic 820): Fair Value Measurement of Equity Securities Subject to Contractual Sale Restrictions</w:t>
      </w:r>
      <w:r>
        <w:rPr>
          <w:rFonts w:ascii="Times New Roman" w:cs="Times New Roman" w:eastAsia="Times New Roman" w:hAnsi="Times New Roman"/>
          <w:sz w:val="14"/>
          <w:szCs w:val="14"/>
          <w:color w:val="auto"/>
        </w:rPr>
        <w:t xml:space="preserve"> ("ASU 2022-03"). ASU 2022-03 clarifies that 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w:t>
      </w:r>
    </w:p>
    <w:p>
      <w:pPr>
        <w:spacing w:after="0" w:line="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But Not Yet Adopted Accounting Standards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October 2023, the FASB issued ASU 2023-06, </w:t>
      </w:r>
      <w:r>
        <w:rPr>
          <w:rFonts w:ascii="Times New Roman" w:cs="Times New Roman" w:eastAsia="Times New Roman" w:hAnsi="Times New Roman"/>
          <w:sz w:val="14"/>
          <w:szCs w:val="14"/>
          <w:i w:val="1"/>
          <w:iCs w:val="1"/>
          <w:color w:val="auto"/>
        </w:rPr>
        <w:t>Disclosure Improvements: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In January 2025, the FASB issued Clarifying the Effective Date (“ASU 2025-01”) to add some clarity around the effective date of the guidance. ASU 2024-03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3. Investments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7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Equity-method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17,547</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0" w:type="dxa"/>
            <w:vAlign w:val="bottom"/>
          </w:tcPr>
          <w:p>
            <w:pPr>
              <w:spacing w:after="0"/>
              <w:rPr>
                <w:sz w:val="1"/>
                <w:szCs w:val="1"/>
                <w:color w:val="auto"/>
              </w:rPr>
            </w:pP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investments at fair value</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debt securities - AFS</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28,734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14,167</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Equity-method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ESG Fund</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AeroFlexx</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 interest in AeroFlexx as of December 31, 2024 and 2023,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carrying amounts and maximum exposure relating to AeroFlexx,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980" w:type="dxa"/>
            <w:vAlign w:val="bottom"/>
          </w:tcPr>
          <w:p>
            <w:pPr>
              <w:spacing w:after="0"/>
              <w:rPr>
                <w:sz w:val="16"/>
                <w:szCs w:val="16"/>
                <w:color w:val="auto"/>
              </w:rPr>
            </w:pPr>
          </w:p>
        </w:tc>
      </w:tr>
      <w:tr>
        <w:trPr>
          <w:trHeight w:val="22"/>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15"/>
                <w:szCs w:val="15"/>
                <w:color w:val="auto"/>
              </w:rPr>
            </w:pPr>
          </w:p>
        </w:tc>
      </w:tr>
      <w:tr>
        <w:trPr>
          <w:trHeight w:val="22"/>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165"/>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Maximum Exposure to</w:t>
            </w:r>
          </w:p>
        </w:tc>
      </w:tr>
      <w:tr>
        <w:trPr>
          <w:trHeight w:val="18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580" w:type="dxa"/>
            <w:vAlign w:val="bottom"/>
          </w:tcPr>
          <w:p>
            <w:pPr>
              <w:spacing w:after="0"/>
              <w:rPr>
                <w:sz w:val="16"/>
                <w:szCs w:val="16"/>
                <w:color w:val="auto"/>
              </w:rPr>
            </w:pPr>
          </w:p>
        </w:tc>
        <w:tc>
          <w:tcPr>
            <w:tcW w:w="9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2"/>
        </w:trPr>
        <w:tc>
          <w:tcPr>
            <w:tcW w:w="4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 in AeroFlexx</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debt securities - AFS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related party</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r>
      <w:tr>
        <w:trPr>
          <w:trHeight w:val="18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32,589</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32,589</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4,170</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4,170</w:t>
            </w:r>
          </w:p>
        </w:tc>
      </w:tr>
      <w:tr>
        <w:trPr>
          <w:trHeight w:val="22"/>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financial information:</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7"/>
        </w:trPr>
        <w:tc>
          <w:tcPr>
            <w:tcW w:w="4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Balance sheets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3"/>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AeroFlexx</w:t>
            </w:r>
          </w:p>
        </w:tc>
        <w:tc>
          <w:tcPr>
            <w:tcW w:w="1060" w:type="dxa"/>
            <w:vAlign w:val="bottom"/>
          </w:tcPr>
          <w:p>
            <w:pPr>
              <w:spacing w:after="0"/>
              <w:rPr>
                <w:sz w:val="18"/>
                <w:szCs w:val="18"/>
                <w:color w:val="auto"/>
              </w:rPr>
            </w:pPr>
          </w:p>
        </w:tc>
      </w:tr>
      <w:tr>
        <w:trPr>
          <w:trHeight w:val="22"/>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40" w:type="dxa"/>
            <w:vAlign w:val="bottom"/>
            <w:gridSpan w:val="3"/>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5"/>
                <w:szCs w:val="15"/>
                <w:color w:val="auto"/>
              </w:rPr>
            </w:pPr>
          </w:p>
        </w:tc>
      </w:tr>
      <w:tr>
        <w:trPr>
          <w:trHeight w:val="22"/>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4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97,445</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8,031</w:t>
            </w:r>
          </w:p>
        </w:tc>
      </w:tr>
      <w:tr>
        <w:trPr>
          <w:trHeight w:val="22"/>
        </w:trPr>
        <w:tc>
          <w:tcPr>
            <w:tcW w:w="4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 (Deficit)</w:t>
            </w:r>
          </w:p>
        </w:tc>
        <w:tc>
          <w:tcPr>
            <w:tcW w:w="104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97,352</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r>
      <w:tr>
        <w:trPr>
          <w:trHeight w:val="371"/>
        </w:trPr>
        <w:tc>
          <w:tcPr>
            <w:tcW w:w="4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Statements of operation</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3"/>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9"/>
              </w:rPr>
              <w:t>AeroFlexx</w:t>
            </w:r>
          </w:p>
        </w:tc>
        <w:tc>
          <w:tcPr>
            <w:tcW w:w="1060" w:type="dxa"/>
            <w:vAlign w:val="bottom"/>
          </w:tcPr>
          <w:p>
            <w:pPr>
              <w:spacing w:after="0"/>
              <w:rPr>
                <w:sz w:val="18"/>
                <w:szCs w:val="18"/>
                <w:color w:val="auto"/>
              </w:rPr>
            </w:pPr>
          </w:p>
        </w:tc>
      </w:tr>
      <w:tr>
        <w:trPr>
          <w:trHeight w:val="22"/>
        </w:trPr>
        <w:tc>
          <w:tcPr>
            <w:tcW w:w="4740" w:type="dxa"/>
            <w:vAlign w:val="bottom"/>
          </w:tcPr>
          <w:p>
            <w:pPr>
              <w:spacing w:after="0" w:line="20" w:lineRule="exact"/>
              <w:rPr>
                <w:sz w:val="1"/>
                <w:szCs w:val="1"/>
                <w:color w:val="auto"/>
              </w:rPr>
            </w:pPr>
          </w:p>
        </w:tc>
        <w:tc>
          <w:tcPr>
            <w:tcW w:w="268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2680" w:type="dxa"/>
            <w:vAlign w:val="bottom"/>
            <w:gridSpan w:val="4"/>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4"/>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r>
      <w:tr>
        <w:trPr>
          <w:trHeight w:val="22"/>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4740" w:type="dxa"/>
            <w:vAlign w:val="bottom"/>
          </w:tcPr>
          <w:p>
            <w:pPr>
              <w:spacing w:after="0"/>
              <w:rPr>
                <w:sz w:val="15"/>
                <w:szCs w:val="15"/>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4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 Profit</w:t>
            </w: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4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39,437</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w:t>
            </w:r>
          </w:p>
        </w:tc>
      </w:tr>
      <w:tr>
        <w:trPr>
          <w:trHeight w:val="22"/>
        </w:trPr>
        <w:tc>
          <w:tcPr>
            <w:tcW w:w="47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Exchange-traded investments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debt securities - AFS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gross unrealized gains and losses, and fair value of AFS debt securities as of December 31, 2024 is represented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40" w:type="dxa"/>
            <w:vAlign w:val="bottom"/>
          </w:tcPr>
          <w:p>
            <w:pPr>
              <w:spacing w:after="0"/>
              <w:rPr>
                <w:sz w:val="16"/>
                <w:szCs w:val="16"/>
                <w:color w:val="auto"/>
              </w:rPr>
            </w:pPr>
          </w:p>
        </w:tc>
        <w:tc>
          <w:tcPr>
            <w:tcW w:w="12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Debt Securities - AFS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w:t>
            </w:r>
          </w:p>
        </w:tc>
      </w:tr>
      <w:tr>
        <w:trPr>
          <w:trHeight w:val="22"/>
        </w:trPr>
        <w:tc>
          <w:tcPr>
            <w:tcW w:w="6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there was no allowance for credit loss related to the available for sale securities portfolio. Accrued interest receivable on available for sale debt securities totaled $216 at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and fair value of debt securities, by contractual maturity, as of December 31, 2024 is shown below. Expected maturities can differ from contractual maturities.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2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r>
      <w:tr>
        <w:trPr>
          <w:trHeight w:val="22"/>
        </w:trPr>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06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10,278</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11,187</w:t>
            </w:r>
          </w:p>
        </w:tc>
      </w:tr>
      <w:tr>
        <w:trPr>
          <w:trHeight w:val="22"/>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Hierarchy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Company’s fair value hierarchy for assets and liabilities measured at fair value on a recurring basis as of December 31, 2024 (Successor) and December 31, 2023 (Predecessor):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34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60" w:type="dxa"/>
            <w:vAlign w:val="bottom"/>
          </w:tcPr>
          <w:p>
            <w:pPr>
              <w:spacing w:after="0"/>
              <w:rPr>
                <w:sz w:val="16"/>
                <w:szCs w:val="16"/>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3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debt security - AFS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3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14,752</w:t>
            </w: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WTI warrant liability</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w:t>
            </w: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placement warrant liability</w:t>
            </w:r>
          </w:p>
        </w:tc>
        <w:tc>
          <w:tcPr>
            <w:tcW w:w="13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16,793</w:t>
            </w:r>
          </w:p>
        </w:tc>
      </w:tr>
      <w:tr>
        <w:trPr>
          <w:trHeight w:val="397"/>
        </w:trPr>
        <w:tc>
          <w:tcPr>
            <w:tcW w:w="3520" w:type="dxa"/>
            <w:vAlign w:val="bottom"/>
          </w:tcPr>
          <w:p>
            <w:pPr>
              <w:spacing w:after="0"/>
              <w:rPr>
                <w:sz w:val="24"/>
                <w:szCs w:val="24"/>
                <w:color w:val="auto"/>
              </w:rPr>
            </w:pPr>
          </w:p>
        </w:tc>
        <w:tc>
          <w:tcPr>
            <w:tcW w:w="2880" w:type="dxa"/>
            <w:vAlign w:val="bottom"/>
            <w:gridSpan w:val="3"/>
          </w:tcPr>
          <w:p>
            <w:pPr>
              <w:jc w:val="center"/>
              <w:ind w:left="1069"/>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34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3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Exchange-traded investments at FVTNI</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9,685</w:t>
            </w: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2"/>
        </w:trPr>
        <w:tc>
          <w:tcPr>
            <w:tcW w:w="3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r>
      <w:tr>
        <w:trPr>
          <w:trHeight w:val="191"/>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payables</w:t>
            </w:r>
          </w:p>
        </w:tc>
        <w:tc>
          <w:tcPr>
            <w:tcW w:w="1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estimated fair value of Level 3 financial assets and liabilities that are measured on a recurring basis for the Successor period from October 2, 2024 through December 31, 2024,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Predecessor period from January 1, 2024 through October 1, 2024 and the Predecessor year ended December 31, 2023, respectively,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Forward Contract</w:t>
            </w:r>
          </w:p>
        </w:tc>
        <w:tc>
          <w:tcPr>
            <w:tcW w:w="14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60" w:type="dxa"/>
            <w:vAlign w:val="bottom"/>
          </w:tcPr>
          <w:p>
            <w:pPr>
              <w:spacing w:after="0"/>
              <w:rPr>
                <w:sz w:val="13"/>
                <w:szCs w:val="13"/>
                <w:color w:val="auto"/>
              </w:rPr>
            </w:pPr>
          </w:p>
        </w:tc>
        <w:tc>
          <w:tcPr>
            <w:tcW w:w="14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Investment in debt</w:t>
            </w:r>
          </w:p>
        </w:tc>
        <w:tc>
          <w:tcPr>
            <w:tcW w:w="200" w:type="dxa"/>
            <w:vAlign w:val="bottom"/>
          </w:tcPr>
          <w:p>
            <w:pPr>
              <w:spacing w:after="0"/>
              <w:rPr>
                <w:sz w:val="13"/>
                <w:szCs w:val="13"/>
                <w:color w:val="auto"/>
              </w:rPr>
            </w:pPr>
          </w:p>
        </w:tc>
        <w:tc>
          <w:tcPr>
            <w:tcW w:w="13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Earnout Liability</w:t>
            </w:r>
          </w:p>
        </w:tc>
        <w:tc>
          <w:tcPr>
            <w:tcW w:w="15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WTI Warrant Liability</w:t>
            </w:r>
          </w:p>
        </w:tc>
        <w:tc>
          <w:tcPr>
            <w:tcW w:w="0" w:type="dxa"/>
            <w:vAlign w:val="bottom"/>
          </w:tcPr>
          <w:p>
            <w:pPr>
              <w:spacing w:after="0"/>
              <w:rPr>
                <w:sz w:val="1"/>
                <w:szCs w:val="1"/>
                <w:color w:val="auto"/>
              </w:rPr>
            </w:pPr>
          </w:p>
        </w:tc>
      </w:tr>
      <w:tr>
        <w:trPr>
          <w:trHeight w:val="191"/>
        </w:trPr>
        <w:tc>
          <w:tcPr>
            <w:tcW w:w="3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securities - AFS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 (Predecessor)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w:t>
            </w:r>
          </w:p>
        </w:tc>
        <w:tc>
          <w:tcPr>
            <w:tcW w:w="200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15"/>
                <w:szCs w:val="15"/>
                <w:color w:val="auto"/>
              </w:rPr>
            </w:pPr>
          </w:p>
        </w:tc>
        <w:tc>
          <w:tcPr>
            <w:tcW w:w="15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 (Predecessor)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w:t>
            </w:r>
          </w:p>
        </w:tc>
        <w:tc>
          <w:tcPr>
            <w:tcW w:w="2000" w:type="dxa"/>
            <w:vAlign w:val="bottom"/>
            <w:gridSpan w:val="2"/>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10,110</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40" w:type="dxa"/>
            <w:vAlign w:val="bottom"/>
          </w:tcPr>
          <w:p>
            <w:pPr>
              <w:spacing w:after="0"/>
              <w:rPr>
                <w:sz w:val="15"/>
                <w:szCs w:val="15"/>
                <w:color w:val="auto"/>
              </w:rPr>
            </w:pPr>
          </w:p>
        </w:tc>
        <w:tc>
          <w:tcPr>
            <w:tcW w:w="15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1, 2024 (Predecessor)</w:t>
            </w: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2, 2024 (Successor)</w:t>
            </w:r>
          </w:p>
        </w:tc>
        <w:tc>
          <w:tcPr>
            <w:tcW w:w="140" w:type="dxa"/>
            <w:vAlign w:val="bottom"/>
          </w:tcPr>
          <w:p>
            <w:pPr>
              <w:spacing w:after="0"/>
              <w:rPr>
                <w:sz w:val="15"/>
                <w:szCs w:val="15"/>
                <w:color w:val="auto"/>
              </w:rPr>
            </w:pPr>
          </w:p>
        </w:tc>
        <w:tc>
          <w:tcPr>
            <w:tcW w:w="15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10,172</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11,352</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54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15,690</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w:t>
            </w:r>
          </w:p>
        </w:tc>
        <w:tc>
          <w:tcPr>
            <w:tcW w:w="140" w:type="dxa"/>
            <w:vAlign w:val="bottom"/>
          </w:tcPr>
          <w:p>
            <w:pPr>
              <w:spacing w:after="0"/>
              <w:rPr>
                <w:sz w:val="15"/>
                <w:szCs w:val="15"/>
                <w:color w:val="auto"/>
              </w:rPr>
            </w:pPr>
          </w:p>
        </w:tc>
        <w:tc>
          <w:tcPr>
            <w:tcW w:w="152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(99)</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w:t>
            </w:r>
          </w:p>
        </w:tc>
        <w:tc>
          <w:tcPr>
            <w:tcW w:w="1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45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6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 (Successor)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 $</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11,187</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14,752</w:t>
            </w: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transfers in or out of levels during the Successor period from October 2, 2024 through December 31, 2024, the Predecessor period from January 1, 2024 through October 1, 2024, or for the Predecessor year ended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Standby Equity Purchase Agreement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Liabilities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Embedded derivative liabilities contained within the 2025 Notes (as defined and further described in Note 5. Borrowings) are stated at fair value. Fair value is determined utilizing discounted cash flows, using unobservable market data inputs, and an option pricing model based on a probability-weighted expected outcome with respect to 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financing or a change of control. The derivatives associated with the 2025 Notes were settled in March 2024 due to conversion of the 2025 Notes in a qualified financing. A summary of the significant unobservable inputs utilized to estimate the fair value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7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8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- 36%</w:t>
            </w:r>
          </w:p>
        </w:tc>
      </w:tr>
      <w:tr>
        <w:trPr>
          <w:trHeight w:val="19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Probability of Expected Outcomes</w:t>
            </w: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
        </w:trPr>
        <w:tc>
          <w:tcPr>
            <w:tcW w:w="7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191"/>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control</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2"/>
        </w:trPr>
        <w:tc>
          <w:tcPr>
            <w:tcW w:w="7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12"/>
        </w:trPr>
        <w:tc>
          <w:tcPr>
            <w:tcW w:w="7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81"/>
        </w:trPr>
        <w:tc>
          <w:tcPr>
            <w:tcW w:w="7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- 87%</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- 88%</w:t>
            </w:r>
          </w:p>
        </w:tc>
      </w:tr>
      <w:tr>
        <w:trPr>
          <w:trHeight w:val="22"/>
        </w:trPr>
        <w:tc>
          <w:tcPr>
            <w:tcW w:w="7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Probability of Expected Outcomes</w:t>
            </w:r>
          </w:p>
        </w:tc>
        <w:tc>
          <w:tcPr>
            <w:tcW w:w="1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191"/>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r>
      <w:tr>
        <w:trPr>
          <w:trHeight w:val="22"/>
        </w:trPr>
        <w:tc>
          <w:tcPr>
            <w:tcW w:w="7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2"/>
        </w:trPr>
        <w:tc>
          <w:tcPr>
            <w:tcW w:w="7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control</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increases or decreases to any of these inputs would result in a significantly higher or lower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debt securities - AFS</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investment in debt securities is stated at fair value as described in Note 3. Investments.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4540" w:type="dxa"/>
            <w:vAlign w:val="bottom"/>
            <w:gridSpan w:val="2"/>
          </w:tcPr>
          <w:p>
            <w:pPr>
              <w:ind w:left="31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6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4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120.00 %</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120.00 %</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to liquidity</w:t>
            </w:r>
          </w:p>
        </w:tc>
        <w:tc>
          <w:tcPr>
            <w:tcW w:w="4540" w:type="dxa"/>
            <w:vAlign w:val="bottom"/>
            <w:gridSpan w:val="2"/>
          </w:tcPr>
          <w:p>
            <w:pPr>
              <w:ind w:left="4040"/>
              <w:spacing w:after="0"/>
              <w:rPr>
                <w:sz w:val="20"/>
                <w:szCs w:val="20"/>
                <w:color w:val="auto"/>
              </w:rPr>
            </w:pPr>
            <w:r>
              <w:rPr>
                <w:rFonts w:ascii="Times New Roman" w:cs="Times New Roman" w:eastAsia="Times New Roman" w:hAnsi="Times New Roman"/>
                <w:sz w:val="14"/>
                <w:szCs w:val="14"/>
                <w:color w:val="auto"/>
              </w:rPr>
              <w:t>2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years</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for lack of marketability</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31.00 %</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4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45.00 %</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4.23 %</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Earnout Shares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revenue forecasts are earned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average at the mid-period of the forecast period. The value of the Earnout Shares is calculated as the average present value over all future modeled payoffs.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8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1"/>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w:t>
            </w:r>
          </w:p>
        </w:tc>
        <w:tc>
          <w:tcPr>
            <w:tcW w:w="2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years</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 years</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price</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13.85</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r>
      <w:tr>
        <w:trPr>
          <w:trHeight w:val="18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4.42 %</w:t>
            </w:r>
          </w:p>
        </w:tc>
      </w:tr>
      <w:tr>
        <w:trPr>
          <w:trHeight w:val="18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Milestone One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unobservable inputs used in estimating the fair value of the Earnout Shares based on revenue for Accelsius (Milestone One):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October 2, 2024</w:t>
            </w:r>
          </w:p>
        </w:tc>
      </w:tr>
      <w:tr>
        <w:trPr>
          <w:trHeight w:val="183"/>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risk premium</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6.10 %</w:t>
            </w:r>
          </w:p>
        </w:tc>
      </w:tr>
      <w:tr>
        <w:trPr>
          <w:trHeight w:val="191"/>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Milestone Two</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Milestone Two is contingent on the Company’s formation of a new subsidiary, in partnership with an MNC, as determined using the Innventure LLC's “DownSelect” process, within the Vesting Period. The probability of achievement based on the Company’s analysis was 98% on October 2,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Milestone Three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unobservable inputs used in estimating the fair value of the Earnout Shares based on revenue for AeroFlexx (Milestone Three):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5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risk premium</w:t>
            </w:r>
          </w:p>
        </w:tc>
        <w:tc>
          <w:tcPr>
            <w:tcW w:w="18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30.60 %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36.10 %</w:t>
            </w: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8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165.00 %</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176.00 %</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information on the Earnout Shares, refer to Note 10. Earnout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issued freestanding warrants to the WTI Lenders in connection with the WTI Facility (as defined and further described in Note 5. Borrowings and Note 11. Warrants). The fair value measurement of WTI Warrants is based on unobservable inputs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 Lenders may exchange the WTI Warrants for a total cash payment of $15,000 after the four-year anniversary of issuance. The risk-free interest rate was determined by reference to the U.S. Treasury yield curve.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22, 2024</w:t>
            </w:r>
          </w:p>
        </w:tc>
        <w:tc>
          <w:tcPr>
            <w:tcW w:w="18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Price</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11.50</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13.85</w:t>
            </w:r>
          </w:p>
        </w:tc>
      </w:tr>
      <w:tr>
        <w:trPr>
          <w:trHeight w:val="191"/>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Price Volatility</w:t>
            </w:r>
          </w:p>
        </w:tc>
        <w:tc>
          <w:tcPr>
            <w:tcW w:w="200" w:type="dxa"/>
            <w:vAlign w:val="bottom"/>
          </w:tcPr>
          <w:p>
            <w:pPr>
              <w:spacing w:after="0"/>
              <w:rPr>
                <w:sz w:val="16"/>
                <w:szCs w:val="16"/>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8"/>
              </w:rPr>
              <w:t>56.00 %</w:t>
            </w:r>
          </w:p>
        </w:tc>
        <w:tc>
          <w:tcPr>
            <w:tcW w:w="180" w:type="dxa"/>
            <w:vAlign w:val="bottom"/>
          </w:tcPr>
          <w:p>
            <w:pPr>
              <w:spacing w:after="0"/>
              <w:rPr>
                <w:sz w:val="16"/>
                <w:szCs w:val="16"/>
                <w:color w:val="auto"/>
              </w:rPr>
            </w:pPr>
          </w:p>
        </w:tc>
        <w:tc>
          <w:tcPr>
            <w:tcW w:w="150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8"/>
              </w:rPr>
              <w:t>56.00 %</w:t>
            </w:r>
          </w:p>
        </w:tc>
      </w:tr>
      <w:tr>
        <w:trPr>
          <w:trHeight w:val="22"/>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Spread</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8"/>
              </w:rPr>
              <w:t>18.60 %</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98"/>
              </w:rPr>
              <w:t>18.80 %</w:t>
            </w:r>
          </w:p>
        </w:tc>
      </w:tr>
      <w:tr>
        <w:trPr>
          <w:trHeight w:val="22"/>
        </w:trPr>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Borrowings</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74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1 promissory notes</w:t>
            </w:r>
          </w:p>
        </w:tc>
        <w:tc>
          <w:tcPr>
            <w:tcW w:w="1740" w:type="dxa"/>
            <w:vAlign w:val="bottom"/>
            <w:tcBorders>
              <w:bottom w:val="single" w:sz="8" w:color="CCEEFF"/>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2025 - 2026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center"/>
              <w:ind w:right="209"/>
              <w:spacing w:after="0"/>
              <w:rPr>
                <w:sz w:val="20"/>
                <w:szCs w:val="20"/>
                <w:color w:val="auto"/>
              </w:rPr>
            </w:pPr>
            <w:r>
              <w:rPr>
                <w:rFonts w:ascii="Times New Roman" w:cs="Times New Roman" w:eastAsia="Times New Roman" w:hAnsi="Times New Roman"/>
                <w:sz w:val="14"/>
                <w:szCs w:val="14"/>
                <w:color w:val="auto"/>
              </w:rPr>
              <w:t>12% - 15%</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9% - 15%</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w:t>
            </w:r>
          </w:p>
        </w:tc>
        <w:tc>
          <w:tcPr>
            <w:tcW w:w="174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2024 - 2025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tcPr>
          <w:p>
            <w:pPr>
              <w:spacing w:after="0"/>
              <w:rPr>
                <w:sz w:val="18"/>
                <w:szCs w:val="18"/>
                <w:color w:val="auto"/>
              </w:rPr>
            </w:pPr>
          </w:p>
        </w:tc>
        <w:tc>
          <w:tcPr>
            <w:tcW w:w="116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 - 15.99%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8"/>
                <w:szCs w:val="18"/>
                <w:color w:val="auto"/>
              </w:rPr>
            </w:pP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promissory notes</w:t>
            </w:r>
          </w:p>
        </w:tc>
        <w:tc>
          <w:tcPr>
            <w:tcW w:w="1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w w:val="96"/>
              </w:rPr>
              <w:t>8%</w:t>
            </w: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WTI Facility</w:t>
            </w:r>
          </w:p>
        </w:tc>
        <w:tc>
          <w:tcPr>
            <w:tcW w:w="174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w w:val="99"/>
              </w:rPr>
              <w:t>2028</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80" w:type="dxa"/>
            <w:vAlign w:val="bottom"/>
          </w:tcPr>
          <w:p>
            <w:pPr>
              <w:spacing w:after="0"/>
              <w:rPr>
                <w:sz w:val="16"/>
                <w:szCs w:val="16"/>
                <w:color w:val="auto"/>
              </w:rPr>
            </w:pPr>
          </w:p>
        </w:tc>
        <w:tc>
          <w:tcPr>
            <w:tcW w:w="116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13.50%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Notes Payable</w:t>
            </w:r>
          </w:p>
        </w:tc>
        <w:tc>
          <w:tcPr>
            <w:tcW w:w="1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34,725</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9,545</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unamortized debt discount</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related party notes payable</w:t>
            </w:r>
          </w:p>
        </w:tc>
        <w:tc>
          <w:tcPr>
            <w:tcW w:w="17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 of notes payable</w:t>
            </w: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Long-term Notes</w:t>
            </w:r>
          </w:p>
        </w:tc>
        <w:tc>
          <w:tcPr>
            <w:tcW w:w="1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13,654</w:t>
            </w:r>
          </w:p>
        </w:tc>
        <w:tc>
          <w:tcPr>
            <w:tcW w:w="2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5,500</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notes payable, excluding debt issuance costs, and notes payable to related parties mature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7060" w:type="dxa"/>
            <w:vAlign w:val="bottom"/>
            <w:gridSpan w:val="2"/>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1260" w:type="dxa"/>
            <w:vAlign w:val="bottom"/>
          </w:tcPr>
          <w:p>
            <w:pPr>
              <w:spacing w:after="0"/>
              <w:rPr>
                <w:sz w:val="16"/>
                <w:szCs w:val="16"/>
                <w:color w:val="auto"/>
              </w:rPr>
            </w:pPr>
          </w:p>
        </w:tc>
      </w:tr>
      <w:tr>
        <w:trPr>
          <w:trHeight w:val="255"/>
        </w:trPr>
        <w:tc>
          <w:tcPr>
            <w:tcW w:w="2960" w:type="dxa"/>
            <w:vAlign w:val="bottom"/>
          </w:tcPr>
          <w:p>
            <w:pPr>
              <w:spacing w:after="0"/>
              <w:rPr>
                <w:sz w:val="22"/>
                <w:szCs w:val="22"/>
                <w:color w:val="auto"/>
              </w:rPr>
            </w:pPr>
          </w:p>
        </w:tc>
        <w:tc>
          <w:tcPr>
            <w:tcW w:w="7060" w:type="dxa"/>
            <w:vAlign w:val="bottom"/>
            <w:gridSpan w:val="2"/>
          </w:tcPr>
          <w:p>
            <w:pPr>
              <w:jc w:val="center"/>
              <w:ind w:right="160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1260" w:type="dxa"/>
            <w:vAlign w:val="bottom"/>
          </w:tcPr>
          <w:p>
            <w:pPr>
              <w:spacing w:after="0"/>
              <w:rPr>
                <w:sz w:val="22"/>
                <w:szCs w:val="22"/>
                <w:color w:val="auto"/>
              </w:rPr>
            </w:pPr>
          </w:p>
        </w:tc>
      </w:tr>
      <w:tr>
        <w:trPr>
          <w:trHeight w:val="255"/>
        </w:trPr>
        <w:tc>
          <w:tcPr>
            <w:tcW w:w="2960" w:type="dxa"/>
            <w:vAlign w:val="bottom"/>
          </w:tcPr>
          <w:p>
            <w:pPr>
              <w:spacing w:after="0"/>
              <w:rPr>
                <w:sz w:val="22"/>
                <w:szCs w:val="22"/>
                <w:color w:val="auto"/>
              </w:rPr>
            </w:pPr>
          </w:p>
        </w:tc>
        <w:tc>
          <w:tcPr>
            <w:tcW w:w="7060" w:type="dxa"/>
            <w:vAlign w:val="bottom"/>
            <w:gridSpan w:val="2"/>
          </w:tcPr>
          <w:p>
            <w:pPr>
              <w:jc w:val="center"/>
              <w:ind w:right="162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tc>
        <w:tc>
          <w:tcPr>
            <w:tcW w:w="1260" w:type="dxa"/>
            <w:vAlign w:val="bottom"/>
          </w:tcPr>
          <w:p>
            <w:pPr>
              <w:spacing w:after="0"/>
              <w:rPr>
                <w:sz w:val="22"/>
                <w:szCs w:val="22"/>
                <w:color w:val="auto"/>
              </w:rPr>
            </w:pPr>
          </w:p>
        </w:tc>
      </w:tr>
      <w:tr>
        <w:trPr>
          <w:trHeight w:val="57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296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706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w:t>
            </w:r>
          </w:p>
        </w:tc>
      </w:tr>
      <w:tr>
        <w:trPr>
          <w:trHeight w:val="191"/>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w:t>
            </w:r>
          </w:p>
        </w:tc>
      </w:tr>
      <w:tr>
        <w:trPr>
          <w:trHeight w:val="22"/>
        </w:trPr>
        <w:tc>
          <w:tcPr>
            <w:tcW w:w="2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67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8,244</w:t>
            </w:r>
          </w:p>
        </w:tc>
      </w:tr>
      <w:tr>
        <w:trPr>
          <w:trHeight w:val="191"/>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2"/>
        </w:trPr>
        <w:tc>
          <w:tcPr>
            <w:tcW w:w="296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67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34,725</w:t>
            </w:r>
          </w:p>
        </w:tc>
      </w:tr>
      <w:tr>
        <w:trPr>
          <w:trHeight w:val="20"/>
        </w:trPr>
        <w:tc>
          <w:tcPr>
            <w:tcW w:w="2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1 Promissory Notes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Noteholders converted their Series 1 promissory notes into Class B Preferred Units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right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shares</w:t>
            </w:r>
          </w:p>
        </w:tc>
        <w:tc>
          <w:tcPr>
            <w:tcW w:w="160" w:type="dxa"/>
            <w:vAlign w:val="bottom"/>
          </w:tcPr>
          <w:p>
            <w:pPr>
              <w:spacing w:after="0"/>
              <w:rPr>
                <w:sz w:val="18"/>
                <w:szCs w:val="18"/>
                <w:color w:val="auto"/>
              </w:rPr>
            </w:pPr>
          </w:p>
        </w:tc>
        <w:tc>
          <w:tcPr>
            <w:tcW w:w="1520" w:type="dxa"/>
            <w:vAlign w:val="bottom"/>
            <w:tcBorders>
              <w:right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135,133</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Extensions on Series 1 promissory notes were as follow:</w:t>
            </w: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3"/>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2980" w:type="dxa"/>
            <w:vAlign w:val="bottom"/>
            <w:vMerge w:val="restart"/>
          </w:tcPr>
          <w:p>
            <w:pPr>
              <w:jc w:val="center"/>
              <w:ind w:left="1329"/>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0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500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1st extension promissory notes</w:t>
            </w:r>
          </w:p>
        </w:tc>
        <w:tc>
          <w:tcPr>
            <w:tcW w:w="2980" w:type="dxa"/>
            <w:vAlign w:val="bottom"/>
            <w:shd w:val="clear" w:color="auto" w:fill="CCEEFF"/>
          </w:tcPr>
          <w:p>
            <w:pPr>
              <w:jc w:val="center"/>
              <w:ind w:left="1329"/>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212"/>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2nd extension promissory notes</w:t>
            </w:r>
          </w:p>
        </w:tc>
        <w:tc>
          <w:tcPr>
            <w:tcW w:w="2980" w:type="dxa"/>
            <w:vAlign w:val="bottom"/>
          </w:tcPr>
          <w:p>
            <w:pPr>
              <w:jc w:val="center"/>
              <w:ind w:left="132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on Series 1 promissory notes was as follows: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68"/>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attributable to contractual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attributable to amortization of issuance costs</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Notes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the related party notes was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000" w:type="dxa"/>
            <w:vAlign w:val="bottom"/>
            <w:gridSpan w:val="4"/>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611</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Promissory Notes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 in Note 4. Fair Value.</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 statements of operations and comprehensive income (loss) in the Predecessor period from January 1, 2024 through October 1,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the 2025 Notes was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gridSpan w:val="4"/>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attributable to contractual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right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attributable to amortization of implied discounts</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accrued interest of $— and $634 in convertible promissory notes as of December 31, 2024 and 2023, respectively. As of December 31, 2024 and 2023, the unamortized discount was $— and $2,133,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WTI Facility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principal amounts under the WTI Facility for the Successor period ended December 31, 2024 was 13.50%.</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 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 loan commitment fee asset on the consolidated statements of operations and comprehensive income (loss) as the commitment fee asset could no longer benefit the Company in receiving debt financing capital.</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this facility was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7"/>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80" w:type="dxa"/>
            <w:vAlign w:val="bottom"/>
          </w:tcPr>
          <w:p>
            <w:pPr>
              <w:spacing w:after="0"/>
              <w:rPr>
                <w:sz w:val="14"/>
                <w:szCs w:val="14"/>
                <w:color w:val="auto"/>
              </w:rPr>
            </w:pPr>
          </w:p>
        </w:tc>
        <w:tc>
          <w:tcPr>
            <w:tcW w:w="14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80" w:type="dxa"/>
            <w:vAlign w:val="bottom"/>
          </w:tcPr>
          <w:p>
            <w:pPr>
              <w:spacing w:after="0"/>
              <w:rPr>
                <w:sz w:val="16"/>
                <w:szCs w:val="16"/>
                <w:color w:val="auto"/>
              </w:rPr>
            </w:pPr>
          </w:p>
        </w:tc>
        <w:tc>
          <w:tcPr>
            <w:tcW w:w="14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attributable to contractual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gridSpan w:val="5"/>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attributable to amortization of issuance costs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gridSpan w:val="3"/>
            <w:shd w:val="clear" w:color="auto" w:fill="CCEEFF"/>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04"/>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6. Inventories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80"/>
        </w:trPr>
        <w:tc>
          <w:tcPr>
            <w:tcW w:w="6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inventories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5,178</w:t>
            </w: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Property, Plant and Equipment</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Machinery &amp; equipment</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2"/>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Computers &amp; office equipment</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Gross</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1,492</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0" w:type="dxa"/>
            <w:vAlign w:val="bottom"/>
          </w:tcPr>
          <w:p>
            <w:pPr>
              <w:spacing w:after="0"/>
              <w:rPr>
                <w:sz w:val="1"/>
                <w:szCs w:val="1"/>
                <w:color w:val="auto"/>
              </w:rPr>
            </w:pPr>
          </w:p>
        </w:tc>
      </w:tr>
      <w:tr>
        <w:trPr>
          <w:trHeight w:val="19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1,414</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c>
          <w:tcPr>
            <w:tcW w:w="0" w:type="dxa"/>
            <w:vAlign w:val="bottom"/>
          </w:tcPr>
          <w:p>
            <w:pPr>
              <w:spacing w:after="0"/>
              <w:rPr>
                <w:sz w:val="1"/>
                <w:szCs w:val="1"/>
                <w:color w:val="auto"/>
              </w:rPr>
            </w:pPr>
          </w:p>
        </w:tc>
      </w:tr>
      <w:tr>
        <w:trPr>
          <w:trHeight w:val="36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 depreciation expense on property, plant and equipment was as follows:</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6"/>
            <w:vMerge w:val="restart"/>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00" w:type="dxa"/>
            <w:vAlign w:val="bottom"/>
          </w:tcPr>
          <w:p>
            <w:pPr>
              <w:spacing w:after="0"/>
              <w:rPr>
                <w:sz w:val="11"/>
                <w:szCs w:val="11"/>
                <w:color w:val="auto"/>
              </w:rPr>
            </w:pPr>
          </w:p>
        </w:tc>
        <w:tc>
          <w:tcPr>
            <w:tcW w:w="80" w:type="dxa"/>
            <w:vAlign w:val="bottom"/>
            <w:tcBorders>
              <w:lef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4"/>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15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38"/>
        </w:trPr>
        <w:tc>
          <w:tcPr>
            <w:tcW w:w="6320" w:type="dxa"/>
            <w:vAlign w:val="bottom"/>
          </w:tcPr>
          <w:p>
            <w:pPr>
              <w:spacing w:after="0"/>
              <w:rPr>
                <w:sz w:val="11"/>
                <w:szCs w:val="11"/>
                <w:color w:val="auto"/>
              </w:rPr>
            </w:pPr>
          </w:p>
        </w:tc>
        <w:tc>
          <w:tcPr>
            <w:tcW w:w="166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80" w:type="dxa"/>
            <w:vAlign w:val="bottom"/>
            <w:tcBorders>
              <w:left w:val="single" w:sz="8" w:color="auto"/>
            </w:tcBorders>
          </w:tcPr>
          <w:p>
            <w:pPr>
              <w:spacing w:after="0"/>
              <w:rPr>
                <w:sz w:val="11"/>
                <w:szCs w:val="11"/>
                <w:color w:val="auto"/>
              </w:rPr>
            </w:pPr>
          </w:p>
        </w:tc>
        <w:tc>
          <w:tcPr>
            <w:tcW w:w="1660" w:type="dxa"/>
            <w:vAlign w:val="bottom"/>
            <w:gridSpan w:val="5"/>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6"/>
                <w:szCs w:val="16"/>
                <w:color w:val="auto"/>
              </w:rPr>
            </w:pPr>
          </w:p>
        </w:tc>
        <w:tc>
          <w:tcPr>
            <w:tcW w:w="80" w:type="dxa"/>
            <w:vAlign w:val="bottom"/>
            <w:tcBorders>
              <w:left w:val="single" w:sz="8" w:color="auto"/>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6"/>
                <w:szCs w:val="16"/>
                <w:color w:val="auto"/>
              </w:rPr>
            </w:pPr>
          </w:p>
        </w:tc>
        <w:tc>
          <w:tcPr>
            <w:tcW w:w="16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Business Combinations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discussed in Note 1. Nature of Business, the Closing of the Business Combination occurred on October 2, 2024 pursuant to the terms of the Business Combination Agreement. Upon Closing, 250,000,000 shares of the 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Consideration Transferred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aggregate consideration for the Business Combination (the “Purchase Consideration”) paid to the holders of Innventure LLC’s outstanding equity and profits interests and warrants, other than the Class PCTA Units and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number</w:t>
            </w:r>
          </w:p>
        </w:tc>
        <w:tc>
          <w:tcPr>
            <w:tcW w:w="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w:t>
            </w: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w:t>
            </w: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issued</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outstanding</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at</w:t>
            </w: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3"/>
              </w:rPr>
              <w:t>the</w:t>
            </w: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Closing</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3"/>
              </w:rPr>
              <w:t>the</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Business</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were:</w:t>
            </w:r>
          </w:p>
        </w:tc>
        <w:tc>
          <w:tcPr>
            <w:tcW w:w="0" w:type="dxa"/>
            <w:vAlign w:val="bottom"/>
          </w:tcPr>
          <w:p>
            <w:pPr>
              <w:spacing w:after="0"/>
              <w:rPr>
                <w:sz w:val="1"/>
                <w:szCs w:val="1"/>
                <w:color w:val="auto"/>
              </w:rPr>
            </w:pPr>
          </w:p>
        </w:tc>
      </w:tr>
      <w:tr>
        <w:trPr>
          <w:trHeight w:val="160"/>
        </w:trPr>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Units</w:t>
            </w: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Immediately Prior to</w:t>
            </w:r>
          </w:p>
        </w:tc>
        <w:tc>
          <w:tcPr>
            <w:tcW w:w="200" w:type="dxa"/>
            <w:vAlign w:val="bottom"/>
          </w:tcPr>
          <w:p>
            <w:pPr>
              <w:spacing w:after="0"/>
              <w:rPr>
                <w:sz w:val="13"/>
                <w:szCs w:val="13"/>
                <w:color w:val="auto"/>
              </w:rPr>
            </w:pPr>
          </w:p>
        </w:tc>
        <w:tc>
          <w:tcPr>
            <w:tcW w:w="1380" w:type="dxa"/>
            <w:vAlign w:val="bottom"/>
            <w:gridSpan w:val="2"/>
          </w:tcPr>
          <w:p>
            <w:pPr>
              <w:jc w:val="center"/>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gridSpan w:val="2"/>
          </w:tcPr>
          <w:p>
            <w:pPr>
              <w:jc w:val="right"/>
              <w:ind w:right="69"/>
              <w:spacing w:after="0" w:line="159" w:lineRule="exact"/>
              <w:rPr>
                <w:sz w:val="20"/>
                <w:szCs w:val="20"/>
                <w:color w:val="auto"/>
              </w:rPr>
            </w:pPr>
            <w:r>
              <w:rPr>
                <w:rFonts w:ascii="Times New Roman" w:cs="Times New Roman" w:eastAsia="Times New Roman" w:hAnsi="Times New Roman"/>
                <w:sz w:val="14"/>
                <w:szCs w:val="14"/>
                <w:b w:val="1"/>
                <w:bCs w:val="1"/>
                <w:color w:val="auto"/>
              </w:rPr>
              <w:t>Common Stock Upon</w:t>
            </w:r>
          </w:p>
        </w:tc>
        <w:tc>
          <w:tcPr>
            <w:tcW w:w="0" w:type="dxa"/>
            <w:vAlign w:val="bottom"/>
          </w:tcPr>
          <w:p>
            <w:pPr>
              <w:spacing w:after="0"/>
              <w:rPr>
                <w:sz w:val="1"/>
                <w:szCs w:val="1"/>
                <w:color w:val="auto"/>
              </w:rPr>
            </w:pPr>
          </w:p>
        </w:tc>
      </w:tr>
      <w:tr>
        <w:trPr>
          <w:trHeight w:val="191"/>
        </w:trPr>
        <w:tc>
          <w:tcPr>
            <w:tcW w:w="1600" w:type="dxa"/>
            <w:vAlign w:val="bottom"/>
            <w:tcBorders>
              <w:bottom w:val="single" w:sz="8" w:color="CCEEFF"/>
            </w:tcBorders>
            <w:gridSpan w:val="3"/>
            <w:vMerge w:val="continue"/>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Conversion Ratio</w:t>
            </w:r>
          </w:p>
        </w:tc>
        <w:tc>
          <w:tcPr>
            <w:tcW w:w="1560" w:type="dxa"/>
            <w:vAlign w:val="bottom"/>
            <w:tcBorders>
              <w:bottom w:val="single" w:sz="8" w:color="auto"/>
            </w:tcBorders>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203"/>
        </w:trPr>
        <w:tc>
          <w:tcPr>
            <w:tcW w:w="1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Preferred Units</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10,875,000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right="569"/>
              <w:spacing w:after="0"/>
              <w:rPr>
                <w:sz w:val="20"/>
                <w:szCs w:val="20"/>
                <w:color w:val="auto"/>
              </w:rPr>
            </w:pPr>
            <w:r>
              <w:rPr>
                <w:rFonts w:ascii="Times New Roman" w:cs="Times New Roman" w:eastAsia="Times New Roman" w:hAnsi="Times New Roman"/>
                <w:sz w:val="14"/>
                <w:szCs w:val="14"/>
                <w:color w:val="auto"/>
              </w:rPr>
              <w:t>2.09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22,754,664</w:t>
            </w:r>
          </w:p>
        </w:tc>
        <w:tc>
          <w:tcPr>
            <w:tcW w:w="0" w:type="dxa"/>
            <w:vAlign w:val="bottom"/>
          </w:tcPr>
          <w:p>
            <w:pPr>
              <w:spacing w:after="0"/>
              <w:rPr>
                <w:sz w:val="1"/>
                <w:szCs w:val="1"/>
                <w:color w:val="auto"/>
              </w:rPr>
            </w:pPr>
          </w:p>
        </w:tc>
      </w:tr>
      <w:tr>
        <w:trPr>
          <w:trHeight w:val="212"/>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Class B-1 Preferred Units</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5,609,951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center"/>
              <w:ind w:right="569"/>
              <w:spacing w:after="0"/>
              <w:rPr>
                <w:sz w:val="20"/>
                <w:szCs w:val="20"/>
                <w:color w:val="auto"/>
              </w:rPr>
            </w:pPr>
            <w:r>
              <w:rPr>
                <w:rFonts w:ascii="Times New Roman" w:cs="Times New Roman" w:eastAsia="Times New Roman" w:hAnsi="Times New Roman"/>
                <w:sz w:val="14"/>
                <w:szCs w:val="14"/>
                <w:color w:val="auto"/>
              </w:rPr>
              <w:t>2.09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11,738,165</w:t>
            </w:r>
          </w:p>
        </w:tc>
        <w:tc>
          <w:tcPr>
            <w:tcW w:w="0" w:type="dxa"/>
            <w:vAlign w:val="bottom"/>
          </w:tcPr>
          <w:p>
            <w:pPr>
              <w:spacing w:after="0"/>
              <w:rPr>
                <w:sz w:val="1"/>
                <w:szCs w:val="1"/>
                <w:color w:val="auto"/>
              </w:rPr>
            </w:pPr>
          </w:p>
        </w:tc>
      </w:tr>
      <w:tr>
        <w:trPr>
          <w:trHeight w:val="212"/>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Units</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342,608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569"/>
              <w:spacing w:after="0"/>
              <w:rPr>
                <w:sz w:val="20"/>
                <w:szCs w:val="20"/>
                <w:color w:val="auto"/>
              </w:rPr>
            </w:pPr>
            <w:r>
              <w:rPr>
                <w:rFonts w:ascii="Times New Roman" w:cs="Times New Roman" w:eastAsia="Times New Roman" w:hAnsi="Times New Roman"/>
                <w:sz w:val="14"/>
                <w:szCs w:val="14"/>
                <w:color w:val="auto"/>
              </w:rPr>
              <w:t>2.09</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716,867</w:t>
            </w:r>
          </w:p>
        </w:tc>
        <w:tc>
          <w:tcPr>
            <w:tcW w:w="0" w:type="dxa"/>
            <w:vAlign w:val="bottom"/>
          </w:tcPr>
          <w:p>
            <w:pPr>
              <w:spacing w:after="0"/>
              <w:rPr>
                <w:sz w:val="1"/>
                <w:szCs w:val="1"/>
                <w:color w:val="auto"/>
              </w:rPr>
            </w:pPr>
          </w:p>
        </w:tc>
      </w:tr>
      <w:tr>
        <w:trPr>
          <w:trHeight w:val="212"/>
        </w:trPr>
        <w:tc>
          <w:tcPr>
            <w:tcW w:w="1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Class C Units</w:t>
            </w:r>
          </w:p>
        </w:tc>
        <w:tc>
          <w:tcPr>
            <w:tcW w:w="4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1,570,125</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center"/>
              <w:ind w:right="569"/>
              <w:spacing w:after="0"/>
              <w:rPr>
                <w:sz w:val="20"/>
                <w:szCs w:val="20"/>
                <w:color w:val="auto"/>
              </w:rPr>
            </w:pPr>
            <w:r>
              <w:rPr>
                <w:rFonts w:ascii="Times New Roman" w:cs="Times New Roman" w:eastAsia="Times New Roman" w:hAnsi="Times New Roman"/>
                <w:sz w:val="14"/>
                <w:szCs w:val="14"/>
                <w:color w:val="auto"/>
              </w:rPr>
              <w:t>2.09</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3,285,303</w:t>
            </w:r>
          </w:p>
        </w:tc>
        <w:tc>
          <w:tcPr>
            <w:tcW w:w="0" w:type="dxa"/>
            <w:vAlign w:val="bottom"/>
          </w:tcPr>
          <w:p>
            <w:pPr>
              <w:spacing w:after="0"/>
              <w:rPr>
                <w:sz w:val="1"/>
                <w:szCs w:val="1"/>
                <w:color w:val="auto"/>
              </w:rPr>
            </w:pPr>
          </w:p>
        </w:tc>
      </w:tr>
      <w:tr>
        <w:trPr>
          <w:trHeight w:val="181"/>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18,397,684</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38,494,999</w:t>
            </w:r>
          </w:p>
        </w:tc>
        <w:tc>
          <w:tcPr>
            <w:tcW w:w="0" w:type="dxa"/>
            <w:vAlign w:val="bottom"/>
          </w:tcPr>
          <w:p>
            <w:pPr>
              <w:spacing w:after="0"/>
              <w:rPr>
                <w:sz w:val="1"/>
                <w:szCs w:val="1"/>
                <w:color w:val="auto"/>
              </w:rPr>
            </w:pPr>
          </w:p>
        </w:tc>
      </w:tr>
      <w:tr>
        <w:trPr>
          <w:trHeight w:val="22"/>
        </w:trPr>
        <w:tc>
          <w:tcPr>
            <w:tcW w:w="4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Learn CW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Learn CW Public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Learn CW Class B Shareholders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Learn CW shares subject to 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Common Stock Issued and Outstanding at Closing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consideration transferred for the Business Combination is summarized as follows: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Holdco Common Stock transferred to Innventure Members</w:t>
      </w:r>
      <w:r>
        <w:rPr>
          <w:rFonts w:ascii="Times New Roman" w:cs="Times New Roman" w:eastAsia="Times New Roman" w:hAnsi="Times New Roman"/>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Contingent consideration</w:t>
      </w:r>
      <w:r>
        <w:rPr>
          <w:rFonts w:ascii="Times New Roman" w:cs="Times New Roman" w:eastAsia="Times New Roman" w:hAnsi="Times New Roman"/>
          <w:sz w:val="7"/>
          <w:szCs w:val="7"/>
          <w:color w:val="auto"/>
        </w:rPr>
        <w:t>(2)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1,027,674</w:t>
            </w: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1,027,674</w:t>
            </w:r>
          </w:p>
        </w:tc>
      </w:tr>
      <w:tr>
        <w:trPr>
          <w:trHeight w:val="212"/>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58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1.00</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5,000,000</w:t>
            </w:r>
          </w:p>
        </w:tc>
      </w:tr>
      <w:tr>
        <w:trPr>
          <w:trHeight w:val="181"/>
        </w:trPr>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6,027,674</w:t>
            </w: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6,027,674</w:t>
            </w:r>
          </w:p>
        </w:tc>
      </w:tr>
      <w:tr>
        <w:trPr>
          <w:trHeight w:val="403"/>
        </w:trPr>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(932,823)</w:t>
            </w:r>
          </w:p>
        </w:tc>
      </w:tr>
      <w:tr>
        <w:trPr>
          <w:trHeight w:val="202"/>
        </w:trPr>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1"/>
        </w:trPr>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43,589,850</w:t>
            </w:r>
          </w:p>
        </w:tc>
      </w:tr>
      <w:tr>
        <w:trPr>
          <w:trHeight w:val="22"/>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79"/>
        </w:trPr>
        <w:tc>
          <w:tcPr>
            <w:tcW w:w="1560" w:type="dxa"/>
            <w:vAlign w:val="bottom"/>
          </w:tcPr>
          <w:p>
            <w:pPr>
              <w:spacing w:after="0"/>
              <w:rPr>
                <w:sz w:val="24"/>
                <w:szCs w:val="24"/>
                <w:color w:val="auto"/>
              </w:rPr>
            </w:pP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418,441</w:t>
            </w:r>
          </w:p>
        </w:tc>
      </w:tr>
      <w:tr>
        <w:trPr>
          <w:trHeight w:val="182"/>
        </w:trPr>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53,980</w:t>
            </w:r>
          </w:p>
        </w:tc>
      </w:tr>
    </w:tbl>
    <w:p>
      <w:pPr>
        <w:spacing w:after="0" w:line="1" w:lineRule="exact"/>
        <w:rPr>
          <w:sz w:val="20"/>
          <w:szCs w:val="20"/>
          <w:color w:val="auto"/>
        </w:rPr>
      </w:pPr>
    </w:p>
    <w:p>
      <w:pPr>
        <w:sectPr>
          <w:pgSz w:w="11900" w:h="16838" w:orient="portrait"/>
          <w:cols w:equalWidth="0" w:num="2">
            <w:col w:w="5860" w:space="720"/>
            <w:col w:w="47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9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5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472,421</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r>
              <w:rPr>
                <w:rFonts w:ascii="Times New Roman" w:cs="Times New Roman" w:eastAsia="Times New Roman" w:hAnsi="Times New Roman"/>
                <w:sz w:val="7"/>
                <w:szCs w:val="7"/>
                <w:color w:val="auto"/>
              </w:rPr>
              <w:t>(3)</w:t>
            </w: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343,030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business enterprise value</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815,451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160" w:hanging="155"/>
        <w:spacing w:after="0"/>
        <w:tabs>
          <w:tab w:leader="none" w:pos="1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the 38,494,999 of aggregate consideration paid in shares (excluding the Company Earnout shares) at a Closing share price of $10.87.</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fair value of the Company Earnout Shares issued and contingently issuable to Innventure Members. Refer to Note 10. Earnout Shares for more details.</w:t>
      </w:r>
    </w:p>
    <w:p>
      <w:pPr>
        <w:spacing w:after="0" w:line="11" w:lineRule="exact"/>
        <w:rPr>
          <w:rFonts w:ascii="Times New Roman" w:cs="Times New Roman" w:eastAsia="Times New Roman" w:hAnsi="Times New Roman"/>
          <w:sz w:val="11"/>
          <w:szCs w:val="11"/>
          <w:color w:val="auto"/>
        </w:rPr>
      </w:pPr>
    </w:p>
    <w:p>
      <w:pPr>
        <w:jc w:val="both"/>
        <w:ind w:firstLine="5"/>
        <w:spacing w:after="0" w:line="272" w:lineRule="auto"/>
        <w:tabs>
          <w:tab w:leader="none" w:pos="162"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cash flow activity as a result of the Business Combination is summarized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5840" w:type="dxa"/>
            <w:vAlign w:val="bottom"/>
            <w:gridSpan w:val="2"/>
          </w:tcPr>
          <w:p>
            <w:pPr>
              <w:jc w:val="center"/>
              <w:ind w:right="278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1280" w:type="dxa"/>
            <w:vAlign w:val="bottom"/>
          </w:tcPr>
          <w:p>
            <w:pPr>
              <w:spacing w:after="0"/>
              <w:rPr>
                <w:sz w:val="16"/>
                <w:szCs w:val="16"/>
                <w:color w:val="auto"/>
              </w:rPr>
            </w:pPr>
          </w:p>
        </w:tc>
      </w:tr>
      <w:tr>
        <w:trPr>
          <w:trHeight w:val="255"/>
        </w:trPr>
        <w:tc>
          <w:tcPr>
            <w:tcW w:w="4160" w:type="dxa"/>
            <w:vAlign w:val="bottom"/>
          </w:tcPr>
          <w:p>
            <w:pPr>
              <w:spacing w:after="0"/>
              <w:rPr>
                <w:sz w:val="22"/>
                <w:szCs w:val="22"/>
                <w:color w:val="auto"/>
              </w:rPr>
            </w:pPr>
          </w:p>
        </w:tc>
        <w:tc>
          <w:tcPr>
            <w:tcW w:w="5840" w:type="dxa"/>
            <w:vAlign w:val="bottom"/>
            <w:gridSpan w:val="2"/>
          </w:tcPr>
          <w:p>
            <w:pPr>
              <w:jc w:val="center"/>
              <w:ind w:right="278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1280" w:type="dxa"/>
            <w:vAlign w:val="bottom"/>
          </w:tcPr>
          <w:p>
            <w:pPr>
              <w:spacing w:after="0"/>
              <w:rPr>
                <w:sz w:val="22"/>
                <w:szCs w:val="22"/>
                <w:color w:val="auto"/>
              </w:rPr>
            </w:pPr>
          </w:p>
        </w:tc>
      </w:tr>
      <w:tr>
        <w:trPr>
          <w:trHeight w:val="255"/>
        </w:trPr>
        <w:tc>
          <w:tcPr>
            <w:tcW w:w="4160" w:type="dxa"/>
            <w:vAlign w:val="bottom"/>
          </w:tcPr>
          <w:p>
            <w:pPr>
              <w:spacing w:after="0"/>
              <w:rPr>
                <w:sz w:val="22"/>
                <w:szCs w:val="22"/>
                <w:color w:val="auto"/>
              </w:rPr>
            </w:pPr>
          </w:p>
        </w:tc>
        <w:tc>
          <w:tcPr>
            <w:tcW w:w="5840" w:type="dxa"/>
            <w:vAlign w:val="bottom"/>
            <w:gridSpan w:val="2"/>
          </w:tcPr>
          <w:p>
            <w:pPr>
              <w:jc w:val="center"/>
              <w:ind w:right="280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tc>
        <w:tc>
          <w:tcPr>
            <w:tcW w:w="1280" w:type="dxa"/>
            <w:vAlign w:val="bottom"/>
          </w:tcPr>
          <w:p>
            <w:pPr>
              <w:spacing w:after="0"/>
              <w:rPr>
                <w:sz w:val="22"/>
                <w:szCs w:val="22"/>
                <w:color w:val="auto"/>
              </w:rPr>
            </w:pPr>
          </w:p>
        </w:tc>
      </w:tr>
      <w:tr>
        <w:trPr>
          <w:trHeight w:val="573"/>
        </w:trPr>
        <w:tc>
          <w:tcPr>
            <w:tcW w:w="4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
        </w:trPr>
        <w:tc>
          <w:tcPr>
            <w:tcW w:w="4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 transferred</w:t>
            </w:r>
          </w:p>
        </w:tc>
        <w:tc>
          <w:tcPr>
            <w:tcW w:w="58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Cash and cash equivalents acquired</w:t>
            </w:r>
          </w:p>
        </w:tc>
        <w:tc>
          <w:tcPr>
            <w:tcW w:w="5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cash flow activity as a result of the Business Combination</w:t>
            </w:r>
          </w:p>
        </w:tc>
        <w:tc>
          <w:tcPr>
            <w:tcW w:w="55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16</w:t>
            </w:r>
          </w:p>
        </w:tc>
      </w:tr>
    </w:tbl>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w:t>
      </w:r>
    </w:p>
    <w:tbl>
      <w:tblPr>
        <w:tblLayout w:type="fixed"/>
        <w:tblInd w:w="0" w:type="dxa"/>
        <w:tblCellMar>
          <w:top w:w="0" w:type="dxa"/>
          <w:left w:w="0" w:type="dxa"/>
          <w:bottom w:w="0" w:type="dxa"/>
          <w:right w:w="0" w:type="dxa"/>
        </w:tblCellMar>
      </w:tblPr>
      <w:tr>
        <w:trPr>
          <w:trHeight w:val="186"/>
        </w:trPr>
        <w:tc>
          <w:tcPr>
            <w:tcW w:w="9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proceeds from Learn CW trust account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11,342</w:t>
            </w:r>
          </w:p>
        </w:tc>
      </w:tr>
      <w:tr>
        <w:trPr>
          <w:trHeight w:val="180"/>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proceeds from Series B Preferred Stock issuance</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10,572</w:t>
            </w:r>
          </w:p>
        </w:tc>
      </w:tr>
      <w:tr>
        <w:trPr>
          <w:trHeight w:val="17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Innventure, Inc. cash sources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21,914</w:t>
            </w:r>
          </w:p>
        </w:tc>
      </w:tr>
      <w:tr>
        <w:trPr>
          <w:trHeight w:val="212"/>
        </w:trPr>
        <w:tc>
          <w:tcPr>
            <w:tcW w:w="9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Learn CW accounts payable and accrued expenses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9,233</w:t>
            </w:r>
          </w:p>
        </w:tc>
      </w:tr>
      <w:tr>
        <w:trPr>
          <w:trHeight w:val="180"/>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Learn CW promissory note due to Sponsor</w:t>
            </w: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18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Innventure LLC transaction costs at Closing</w:t>
            </w: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w:t>
            </w:r>
          </w:p>
        </w:tc>
      </w:tr>
      <w:tr>
        <w:trPr>
          <w:trHeight w:val="171"/>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uses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20,067</w:t>
            </w:r>
          </w:p>
        </w:tc>
      </w:tr>
      <w:tr>
        <w:trPr>
          <w:trHeight w:val="196"/>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proceeds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purchase consideration was allocated to the following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Inventory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in debt securities - AFS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assets acquired: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5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16</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117</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210</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2,824</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1,955</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18,449</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10,172</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1,227</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187,500</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1028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0285" cy="6985"/>
                    </a:xfrm>
                    <a:prstGeom prst="rect">
                      <a:avLst/>
                    </a:prstGeom>
                    <a:noFill/>
                  </pic:spPr>
                </pic:pic>
              </a:graphicData>
            </a:graphic>
          </wp:anchor>
        </w:drawing>
      </w:r>
    </w:p>
    <w:p>
      <w:pPr>
        <w:spacing w:after="0" w:line="8" w:lineRule="exact"/>
        <w:rPr>
          <w:sz w:val="20"/>
          <w:szCs w:val="20"/>
          <w:color w:val="auto"/>
        </w:rPr>
      </w:pPr>
    </w:p>
    <w:p>
      <w:pPr>
        <w:ind w:left="1060" w:hanging="1054"/>
        <w:spacing w:after="0"/>
        <w:tabs>
          <w:tab w:leader="none" w:pos="106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223,299</w:t>
      </w:r>
    </w:p>
    <w:p>
      <w:pPr>
        <w:spacing w:after="0" w:line="25" w:lineRule="exact"/>
        <w:rPr>
          <w:sz w:val="20"/>
          <w:szCs w:val="20"/>
          <w:color w:val="auto"/>
        </w:rPr>
      </w:pPr>
    </w:p>
    <w:p>
      <w:pPr>
        <w:sectPr>
          <w:pgSz w:w="11900" w:h="16838" w:orient="portrait"/>
          <w:cols w:equalWidth="0" w:num="2">
            <w:col w:w="8980" w:space="720"/>
            <w:col w:w="15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97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80"/>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2"/>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6,286</w:t>
            </w:r>
          </w:p>
        </w:tc>
      </w:tr>
      <w:tr>
        <w:trPr>
          <w:trHeight w:val="212"/>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w:t>
            </w:r>
          </w:p>
        </w:tc>
      </w:tr>
      <w:tr>
        <w:trPr>
          <w:trHeight w:val="212"/>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r>
      <w:tr>
        <w:trPr>
          <w:trHeight w:val="212"/>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payable</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r>
      <w:tr>
        <w:trPr>
          <w:trHeight w:val="212"/>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r>
      <w:tr>
        <w:trPr>
          <w:trHeight w:val="212"/>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 installment payable</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w:t>
            </w:r>
          </w:p>
        </w:tc>
      </w:tr>
      <w:tr>
        <w:trPr>
          <w:trHeight w:val="212"/>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30,654</w:t>
            </w:r>
          </w:p>
        </w:tc>
      </w:tr>
      <w:tr>
        <w:trPr>
          <w:trHeight w:val="212"/>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71"/>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75,784</w:t>
            </w:r>
          </w:p>
        </w:tc>
      </w:tr>
      <w:tr>
        <w:trPr>
          <w:trHeight w:val="192"/>
        </w:trPr>
        <w:tc>
          <w:tcPr>
            <w:tcW w:w="9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identifiable assets acquired</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147,515</w:t>
            </w:r>
          </w:p>
        </w:tc>
      </w:tr>
      <w:tr>
        <w:trPr>
          <w:trHeight w:val="212"/>
        </w:trPr>
        <w:tc>
          <w:tcPr>
            <w:tcW w:w="97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96"/>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667,936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definite-lived intangible assets as of the Closing Date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590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tc>
        <w:tc>
          <w:tcPr>
            <w:tcW w:w="2580" w:type="dxa"/>
            <w:vAlign w:val="bottom"/>
          </w:tcPr>
          <w:p>
            <w:pPr>
              <w:spacing w:after="0"/>
              <w:rPr>
                <w:sz w:val="16"/>
                <w:szCs w:val="16"/>
                <w:color w:val="auto"/>
              </w:rPr>
            </w:pPr>
          </w:p>
        </w:tc>
      </w:tr>
      <w:tr>
        <w:trPr>
          <w:trHeight w:val="255"/>
        </w:trPr>
        <w:tc>
          <w:tcPr>
            <w:tcW w:w="2800" w:type="dxa"/>
            <w:vAlign w:val="bottom"/>
          </w:tcPr>
          <w:p>
            <w:pPr>
              <w:spacing w:after="0"/>
              <w:rPr>
                <w:sz w:val="22"/>
                <w:szCs w:val="22"/>
                <w:color w:val="auto"/>
              </w:rPr>
            </w:pPr>
          </w:p>
        </w:tc>
        <w:tc>
          <w:tcPr>
            <w:tcW w:w="590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tc>
        <w:tc>
          <w:tcPr>
            <w:tcW w:w="2580" w:type="dxa"/>
            <w:vAlign w:val="bottom"/>
          </w:tcPr>
          <w:p>
            <w:pPr>
              <w:spacing w:after="0"/>
              <w:rPr>
                <w:sz w:val="22"/>
                <w:szCs w:val="22"/>
                <w:color w:val="auto"/>
              </w:rPr>
            </w:pPr>
          </w:p>
        </w:tc>
      </w:tr>
      <w:tr>
        <w:trPr>
          <w:trHeight w:val="255"/>
        </w:trPr>
        <w:tc>
          <w:tcPr>
            <w:tcW w:w="2800" w:type="dxa"/>
            <w:vAlign w:val="bottom"/>
          </w:tcPr>
          <w:p>
            <w:pPr>
              <w:spacing w:after="0"/>
              <w:rPr>
                <w:sz w:val="22"/>
                <w:szCs w:val="22"/>
                <w:color w:val="auto"/>
              </w:rPr>
            </w:pPr>
          </w:p>
        </w:tc>
        <w:tc>
          <w:tcPr>
            <w:tcW w:w="5900" w:type="dxa"/>
            <w:vAlign w:val="bottom"/>
            <w:gridSpan w:val="2"/>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tc>
        <w:tc>
          <w:tcPr>
            <w:tcW w:w="2580" w:type="dxa"/>
            <w:vAlign w:val="bottom"/>
          </w:tcPr>
          <w:p>
            <w:pPr>
              <w:spacing w:after="0"/>
              <w:rPr>
                <w:sz w:val="22"/>
                <w:szCs w:val="22"/>
                <w:color w:val="auto"/>
              </w:rPr>
            </w:pPr>
          </w:p>
        </w:tc>
      </w:tr>
      <w:tr>
        <w:trPr>
          <w:trHeight w:val="563"/>
        </w:trPr>
        <w:tc>
          <w:tcPr>
            <w:tcW w:w="2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jc w:val="right"/>
              <w:ind w:right="134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5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w:t>
            </w: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5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5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165,100</w:t>
            </w: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140" w:type="dxa"/>
            <w:vAlign w:val="bottom"/>
          </w:tcPr>
          <w:p>
            <w:pPr>
              <w:spacing w:after="0"/>
              <w:rPr>
                <w:sz w:val="14"/>
                <w:szCs w:val="14"/>
                <w:color w:val="auto"/>
              </w:rPr>
            </w:pP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187,500</w:t>
            </w:r>
          </w:p>
        </w:tc>
      </w:tr>
      <w:tr>
        <w:trPr>
          <w:trHeight w:val="20"/>
        </w:trPr>
        <w:tc>
          <w:tcPr>
            <w:tcW w:w="28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9. Goodwill and Intangible Assets for additional information.</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Financial Information (Unaudited)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Goodwill and Intangible Assets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 net: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 Amortization</w:t>
            </w:r>
          </w:p>
        </w:tc>
        <w:tc>
          <w:tcPr>
            <w:tcW w:w="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6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2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Gross Carrying Amount</w:t>
            </w: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40" w:type="dxa"/>
            <w:vAlign w:val="bottom"/>
          </w:tcPr>
          <w:p>
            <w:pPr>
              <w:spacing w:after="0"/>
              <w:rPr>
                <w:sz w:val="10"/>
                <w:szCs w:val="10"/>
                <w:color w:val="auto"/>
              </w:rPr>
            </w:pPr>
          </w:p>
        </w:tc>
        <w:tc>
          <w:tcPr>
            <w:tcW w:w="15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16"/>
        </w:trPr>
        <w:tc>
          <w:tcPr>
            <w:tcW w:w="4060" w:type="dxa"/>
            <w:vAlign w:val="bottom"/>
            <w:vMerge w:val="continue"/>
          </w:tcPr>
          <w:p>
            <w:pPr>
              <w:spacing w:after="0"/>
              <w:rPr>
                <w:sz w:val="10"/>
                <w:szCs w:val="10"/>
                <w:color w:val="auto"/>
              </w:rPr>
            </w:pPr>
          </w:p>
        </w:tc>
        <w:tc>
          <w:tcPr>
            <w:tcW w:w="2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580" w:type="dxa"/>
            <w:vAlign w:val="bottom"/>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060" w:type="dxa"/>
            <w:vAlign w:val="bottom"/>
            <w:tcBorders>
              <w:bottom w:val="single" w:sz="8" w:color="CCEEFF"/>
            </w:tcBorders>
          </w:tcPr>
          <w:p>
            <w:pPr>
              <w:spacing w:after="0"/>
              <w:rPr>
                <w:sz w:val="6"/>
                <w:szCs w:val="6"/>
                <w:color w:val="auto"/>
              </w:rPr>
            </w:pPr>
          </w:p>
        </w:tc>
        <w:tc>
          <w:tcPr>
            <w:tcW w:w="2260" w:type="dxa"/>
            <w:vAlign w:val="bottom"/>
            <w:tcBorders>
              <w:bottom w:val="single" w:sz="8" w:color="auto"/>
            </w:tcBorders>
            <w:gridSpan w:val="2"/>
            <w:vMerge w:val="continue"/>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17,800</w:t>
            </w: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w:t>
            </w:r>
          </w:p>
        </w:tc>
        <w:tc>
          <w:tcPr>
            <w:tcW w:w="0" w:type="dxa"/>
            <w:vAlign w:val="bottom"/>
          </w:tcPr>
          <w:p>
            <w:pPr>
              <w:spacing w:after="0"/>
              <w:rPr>
                <w:sz w:val="1"/>
                <w:szCs w:val="1"/>
                <w:color w:val="auto"/>
              </w:rPr>
            </w:pPr>
          </w:p>
        </w:tc>
      </w:tr>
      <w:tr>
        <w:trPr>
          <w:trHeight w:val="212"/>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165,100</w:t>
            </w: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160,382</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finite-lived intangible assets</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187,530</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182,153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intangible assets on the consolidated balance sheets during the Predecessor periods; therefore, no amortization expense was recognized. Amortization expense was $5,377 for the Successor period from October 2, 2024 through December 31, 2024 and is recorded on the consolidated statements of operations and comprehensive income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future amortization expense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21,616</w:t>
            </w:r>
          </w:p>
        </w:tc>
      </w:tr>
      <w:tr>
        <w:trPr>
          <w:trHeight w:val="180"/>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21,616</w:t>
            </w: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21,234</w:t>
            </w:r>
          </w:p>
        </w:tc>
      </w:tr>
      <w:tr>
        <w:trPr>
          <w:trHeight w:val="180"/>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w:t>
            </w:r>
          </w:p>
        </w:tc>
      </w:tr>
      <w:tr>
        <w:trPr>
          <w:trHeight w:val="18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18,853</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78,761</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182,153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Earnout Shares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Upon Closing of the Business Combination, 5,000,000 Company Earnout Shares were contingently issuable to Innventure Members. Additionally, 344,828 earnout shares were issued to the Sponsor who received consideration in the Business Combination. These shares, referred to as "Sponsor Earnout Shares," are subject to clawback. The Company Earnout Shares and the Sponsor Earnout Shares are collectively referred to as the “Earnout Shares”.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Earnout Shares will vest upon the following milestone conditions:</w:t>
      </w:r>
    </w:p>
    <w:p>
      <w:pPr>
        <w:spacing w:after="0" w:line="179" w:lineRule="exact"/>
        <w:rPr>
          <w:sz w:val="20"/>
          <w:szCs w:val="20"/>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of the Earnout Shares will vest upon Accelsius having entered into binding contracts providing for revenue for the Company (as defined in the Business Combination Agreement) within 7 years following the Closing (the “Vesting Period”) in excess of $15,000 in revenue ("Milestone One");</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of the Earnout Shares will vest upon the Company’s formation of a new subsidiary, in partnership with an MNC, as determined using the Innventure LLC's “DownSelect” process, within the Vesting Period ("Milestone Two");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of the Earnout Shares will vest upon AeroFlexx having received in excess of $15,000 revenue within the Vesting Period ("Milestone Three").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Earnout Shares related to Milestone Three are classified as a liability. At Closing, 1,068,966 liability-classified Earnout Shares were fair valued at $11,352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Warrants</w:t>
            </w:r>
          </w:p>
        </w:tc>
        <w:tc>
          <w:tcPr>
            <w:tcW w:w="2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72"/>
        </w:trPr>
        <w:tc>
          <w:tcPr>
            <w:tcW w:w="50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Number of Public Warrants</w:t>
            </w:r>
          </w:p>
        </w:tc>
        <w:tc>
          <w:tcPr>
            <w:tcW w:w="20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Number of Private Warrants</w:t>
            </w:r>
          </w:p>
        </w:tc>
        <w:tc>
          <w:tcPr>
            <w:tcW w:w="1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Number of WTI Warrants</w:t>
            </w: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October 2, 2024 (Successor)</w:t>
            </w:r>
          </w:p>
        </w:tc>
        <w:tc>
          <w:tcPr>
            <w:tcW w:w="2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11,499,997</w:t>
            </w:r>
          </w:p>
        </w:tc>
        <w:tc>
          <w:tcPr>
            <w:tcW w:w="2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7,146,000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2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(259,309)</w:t>
            </w:r>
          </w:p>
        </w:tc>
        <w:tc>
          <w:tcPr>
            <w:tcW w:w="2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2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December 31, 2024 (Successor)</w:t>
            </w:r>
          </w:p>
        </w:tc>
        <w:tc>
          <w:tcPr>
            <w:tcW w:w="21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11,240,688</w:t>
            </w:r>
          </w:p>
        </w:tc>
        <w:tc>
          <w:tcPr>
            <w:tcW w:w="2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7,146,000</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warrants outstanding during the Predecessor period from January 1, 2024 through October 1, 2024 nor the Predecessor year ended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and Private Placement Warrants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 financial liabilities on the consolidated statements of operations and comprehensive income (loss). There were no private warrants exercised for the year ended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71"/>
        </w:trPr>
        <w:tc>
          <w:tcPr>
            <w:tcW w:w="2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0"/>
        </w:trPr>
        <w:tc>
          <w:tcPr>
            <w:tcW w:w="2260" w:type="dxa"/>
            <w:vAlign w:val="bottom"/>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6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3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7,146,000</w:t>
            </w:r>
          </w:p>
        </w:tc>
        <w:tc>
          <w:tcPr>
            <w:tcW w:w="166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11.50</w:t>
            </w:r>
          </w:p>
        </w:tc>
        <w:tc>
          <w:tcPr>
            <w:tcW w:w="1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10/2/2029</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WTI Warrants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w:t>
      </w:r>
    </w:p>
    <w:p>
      <w:pPr>
        <w:spacing w:after="0" w:line="136" w:lineRule="exact"/>
        <w:rPr>
          <w:sz w:val="20"/>
          <w:szCs w:val="20"/>
          <w:color w:val="auto"/>
        </w:rPr>
      </w:pPr>
    </w:p>
    <w:p>
      <w:pPr>
        <w:jc w:val="both"/>
        <w:ind w:left="520" w:hanging="260"/>
        <w:spacing w:after="0" w:line="270"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WTI Lenders choose to exercise the warrants for Subsequent Round Stock, the exercise price shall be the lowest price per share paid by any person for the Company's equity securities issued in a corresponding subsequent round.</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WTI Warrants are considered freestanding financial instruments and are recorded at fair value on the consolidated balance sheets as a warrant liability. The fair value of the WTI Warrants upon issuance was $15,690. For the period from issuance to December 31, 2024, the Company recognized a loss of $1,540 in Change in fair value of financial liabilities on the consolidated statements of operations and comprehensive income (loss). See Note 4. Fair Value for details on the valuation.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r>
      <w:tr>
        <w:trPr>
          <w:trHeight w:val="171"/>
        </w:trPr>
        <w:tc>
          <w:tcPr>
            <w:tcW w:w="39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0"/>
        </w:trPr>
        <w:tc>
          <w:tcPr>
            <w:tcW w:w="392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21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tcPr>
          <w:p>
            <w:pPr>
              <w:spacing w:after="0"/>
              <w:rPr>
                <w:sz w:val="15"/>
                <w:szCs w:val="15"/>
                <w:color w:val="auto"/>
              </w:rPr>
            </w:pPr>
          </w:p>
        </w:tc>
        <w:tc>
          <w:tcPr>
            <w:tcW w:w="23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00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WTI Warrants</w:t>
            </w:r>
          </w:p>
        </w:tc>
        <w:tc>
          <w:tcPr>
            <w:tcW w:w="2120" w:type="dxa"/>
            <w:vAlign w:val="bottom"/>
            <w:shd w:val="clear" w:color="auto" w:fill="CCEEFF"/>
          </w:tcPr>
          <w:p>
            <w:pPr>
              <w:jc w:val="right"/>
              <w:ind w:right="1769"/>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varies</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3/31/2025 $</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r>
      <w:tr>
        <w:trPr>
          <w:trHeight w:val="360"/>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Mezzanine Capital</w:t>
            </w: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Predecessor period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Preference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Distributions to Class PCTA and Class I Unit holders are based on their ownership percentage of the respective class.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Redemption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will distribute the Class I investments held by Innventus ESG Fund I, L.P., to the investor in-kind at the election of WE-INN LLC. There is no maximum amount that the Company could be required to pay if the instrument is redeemed.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Stockholders' Equity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 (ii) the Reset Conversion Price, where the “Reset Conversion Price” means the greater of: (a) $5.00 and (b) the 10-trading day volume-weighted average closing price of the Common Stock. Any fractional shares resulting from conversion will be rounded up to the next whole share.</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Standby Equity Purchase Agreement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October 2023, we entered into the SEPA with YA II PN, LTD., an exempt limited partnership from the Cayman Islands (“Yorkville”). Concurrently with the Business Combination, this agreement became effective.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Pursuant to the SEPA, the Company shall have the right, but not the obligation, to sell to Yorkville up to $75,000 of Common Stock, par value $0.0001 per share, at the Company’s request any time during the commitment period commencing on the Closing and continuing for a term of 3 years (“Purchased Put Option”). As consideration, Innventure agreed and paid, to YA Global II SPV, LLC, a subsidiary of Yorkville, (i) a structuring fee in the amount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$25 and (ii) 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24, 2024, the Company issued and sold 60,000 shares of Common Stock in amount of $770, based on the settlement date closing stock price. Additionally, on December 30, 2024, the Company issued and sold 75,000 shares of Common Stock in an amount of $965.</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Company sold 135,000 shares of Common Stock under the SEPA, raising $1,735 which is classified within Issuance of common shares, net of issuance costs in the consolidated statements of changes in stockholders' equity (deficit).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 Risk Sponsor Shares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Business Combination Agreement, the Company entered into the Sponsor Support Agreement under which 5,000,000 shares were issued to the Sponsor at the Closing, as follows: 2,775,172 Fixed Shares, 344,828 Sponsor Earnout Shares, and 1,880,000 At Risk Sponsor Shares.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w:t>
      </w:r>
    </w:p>
    <w:p>
      <w:pPr>
        <w:spacing w:after="0" w:line="3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w:t>
      </w:r>
    </w:p>
    <w:p>
      <w:pPr>
        <w:spacing w:after="0" w:line="1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Similar to the Sponsor Earnout Shares, all the At-Risk Sponsor Shares were entitled to non-forfeitable dividends or distributions along with other common stockholders of the Company, from their issuance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Provider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 resulting liabilities for these unissued securities are included within Obligation to issue equity on the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Stock-based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Incentive Plan</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recognized compensation costs related to the Capital Incentive Plan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right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40" w:type="dxa"/>
            <w:vAlign w:val="bottom"/>
            <w:tcBorders>
              <w:bottom w:val="single" w:sz="8" w:color="auto"/>
            </w:tcBorders>
          </w:tcPr>
          <w:p>
            <w:pPr>
              <w:spacing w:after="0"/>
              <w:rPr>
                <w:sz w:val="15"/>
                <w:szCs w:val="15"/>
                <w:color w:val="auto"/>
              </w:rPr>
            </w:pPr>
          </w:p>
        </w:tc>
      </w:tr>
      <w:tr>
        <w:trPr>
          <w:trHeight w:val="129"/>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Borders>
              <w:right w:val="single" w:sz="8" w:color="auto"/>
            </w:tcBorders>
          </w:tcPr>
          <w:p>
            <w:pPr>
              <w:jc w:val="center"/>
              <w:ind w:right="14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 October 2, 2024 through</w:t>
            </w:r>
          </w:p>
        </w:tc>
        <w:tc>
          <w:tcPr>
            <w:tcW w:w="120" w:type="dxa"/>
            <w:vAlign w:val="bottom"/>
          </w:tcPr>
          <w:p>
            <w:pPr>
              <w:spacing w:after="0"/>
              <w:rPr>
                <w:sz w:val="11"/>
                <w:szCs w:val="11"/>
                <w:color w:val="auto"/>
              </w:rPr>
            </w:pPr>
          </w:p>
        </w:tc>
        <w:tc>
          <w:tcPr>
            <w:tcW w:w="2460" w:type="dxa"/>
            <w:vAlign w:val="bottom"/>
          </w:tcPr>
          <w:p>
            <w:pPr>
              <w:jc w:val="center"/>
              <w:ind w:right="8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 January 1 2024 through</w:t>
            </w:r>
          </w:p>
        </w:tc>
        <w:tc>
          <w:tcPr>
            <w:tcW w:w="580" w:type="dxa"/>
            <w:vAlign w:val="bottom"/>
          </w:tcPr>
          <w:p>
            <w:pPr>
              <w:spacing w:after="0"/>
              <w:rPr>
                <w:sz w:val="11"/>
                <w:szCs w:val="11"/>
                <w:color w:val="auto"/>
              </w:rPr>
            </w:pPr>
          </w:p>
        </w:tc>
        <w:tc>
          <w:tcPr>
            <w:tcW w:w="204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8"/>
        </w:trPr>
        <w:tc>
          <w:tcPr>
            <w:tcW w:w="3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right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October 1, 2024</w:t>
            </w: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right w:val="single" w:sz="8" w:color="auto"/>
            </w:tcBorders>
            <w:shd w:val="clear" w:color="auto" w:fill="CCEEFF"/>
          </w:tcPr>
          <w:p>
            <w:pPr>
              <w:ind w:left="2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137</w:t>
            </w:r>
          </w:p>
        </w:tc>
        <w:tc>
          <w:tcPr>
            <w:tcW w:w="58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Equity and Incentive Compensation Plan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May 1, 2027 and all stock options will be vested by April 30, 2027. The fair value of the Awards issued to employees is recognized as compensation expense on a straight-line basis over the requisite service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20"/>
                <w:szCs w:val="20"/>
                <w:color w:val="auto"/>
              </w:rPr>
            </w:pPr>
            <w:r>
              <w:rPr>
                <w:rFonts w:ascii="Times New Roman" w:cs="Times New Roman" w:eastAsia="Times New Roman" w:hAnsi="Times New Roman"/>
                <w:sz w:val="14"/>
                <w:szCs w:val="14"/>
                <w:color w:val="auto"/>
              </w:rPr>
              <w:t>The summary of RSU activity for the Successor period from October 2, 2024 through December 31, 2024 is as follows: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440" w:type="dxa"/>
            <w:vAlign w:val="bottom"/>
          </w:tcPr>
          <w:p>
            <w:pPr>
              <w:jc w:val="right"/>
              <w:ind w:right="89"/>
              <w:spacing w:after="0" w:line="143"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 on December 9,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2,036,476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1,905,008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 activity for the Successor period from October 2, 2024 through December 31, 2024 is as follows: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w w:val="99"/>
              </w:rPr>
              <w:t>Date Fair Value (per</w:t>
            </w: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5"/>
                <w:szCs w:val="15"/>
                <w:color w:val="auto"/>
              </w:rPr>
            </w:pPr>
          </w:p>
        </w:tc>
        <w:tc>
          <w:tcPr>
            <w:tcW w:w="14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6"/>
              </w:rPr>
              <w:t>share)</w:t>
            </w:r>
          </w:p>
        </w:tc>
        <w:tc>
          <w:tcPr>
            <w:tcW w:w="0" w:type="dxa"/>
            <w:vAlign w:val="bottom"/>
          </w:tcPr>
          <w:p>
            <w:pPr>
              <w:spacing w:after="0"/>
              <w:rPr>
                <w:sz w:val="1"/>
                <w:szCs w:val="1"/>
                <w:color w:val="auto"/>
              </w:rPr>
            </w:pPr>
          </w:p>
        </w:tc>
      </w:tr>
      <w:tr>
        <w:trPr>
          <w:trHeight w:val="17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 on December 9,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975,409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6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tcBorders>
              <w:top w:val="single" w:sz="8" w:color="CCEEFF"/>
            </w:tcBorders>
            <w:vMerge w:val="continue"/>
          </w:tcPr>
          <w:p>
            <w:pPr>
              <w:spacing w:after="0"/>
              <w:rPr>
                <w:sz w:val="12"/>
                <w:szCs w:val="12"/>
                <w:color w:val="auto"/>
              </w:rPr>
            </w:pPr>
          </w:p>
        </w:tc>
        <w:tc>
          <w:tcPr>
            <w:tcW w:w="1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Appreciation Rights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Both the cash-settled SARs and stock-settled SARs will be automatically exercised upon the two-year anniversary of the date of grant. The weighted average contractual term is 2 years.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estimated grant date fair value of the cash-settled SARs and the stock-settled SARs was $1,160 and $12,371, respectively. The SARs were valued using the Black-Scholes option-pricing model based on an expected volatility of 70%, an expected term of approximately 2 years, and risk-free rate of return of 4%. The SARs are considered fully vested at the date of grant and compensation cost for both SARs was recognized immediately at the date of grant. During the Successor period from October 2, 2024 through December 31, 2024, the Company recorded $13,531 in compensation expense related to the SARs within General and administrative expense in the consolidated statements of operations and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summary of SARs activity for the Successor period from October 2, 2024 through December 31,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Cash-settled SARs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Stock-settled SARs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11"/>
                <w:szCs w:val="11"/>
                <w:color w:val="auto"/>
              </w:rPr>
            </w:pPr>
          </w:p>
        </w:tc>
        <w:tc>
          <w:tcPr>
            <w:tcW w:w="134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1"/>
                <w:szCs w:val="11"/>
                <w:color w:val="auto"/>
              </w:rPr>
            </w:pPr>
          </w:p>
        </w:tc>
        <w:tc>
          <w:tcPr>
            <w:tcW w:w="1320" w:type="dxa"/>
            <w:vAlign w:val="bottom"/>
          </w:tcPr>
          <w:p>
            <w:pPr>
              <w:jc w:val="center"/>
              <w:ind w:right="69"/>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1"/>
                <w:szCs w:val="11"/>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20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6"/>
                <w:szCs w:val="16"/>
                <w:color w:val="auto"/>
              </w:rPr>
            </w:pP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Granted on December 9,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20" w:type="dxa"/>
            <w:vAlign w:val="bottom"/>
            <w:tcBorders>
              <w:top w:val="single" w:sz="8" w:color="CCEEFF"/>
            </w:tcBorders>
            <w:vMerge w:val="continue"/>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Subsidiary Equity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Accelsius Subsidiary Equity Plan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summary of Accelsius Subsidiary Equity Plan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Successor Period</w:t>
            </w:r>
          </w:p>
        </w:tc>
        <w:tc>
          <w:tcPr>
            <w:tcW w:w="4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3"/>
          </w:tcPr>
          <w:p>
            <w:pPr>
              <w:jc w:val="right"/>
              <w:ind w:right="1689"/>
              <w:spacing w:after="0"/>
              <w:rPr>
                <w:sz w:val="20"/>
                <w:szCs w:val="20"/>
                <w:color w:val="auto"/>
              </w:rPr>
            </w:pPr>
            <w:r>
              <w:rPr>
                <w:rFonts w:ascii="Times New Roman" w:cs="Times New Roman" w:eastAsia="Times New Roman" w:hAnsi="Times New Roman"/>
                <w:sz w:val="14"/>
                <w:szCs w:val="14"/>
                <w:b w:val="1"/>
                <w:bCs w:val="1"/>
                <w:color w:val="auto"/>
              </w:rPr>
              <w:t>Predecessor Period</w:t>
            </w: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tcBorders>
              <w:right w:val="single" w:sz="8" w:color="auto"/>
            </w:tcBorders>
          </w:tcPr>
          <w:p>
            <w:pPr>
              <w:jc w:val="center"/>
              <w:ind w:right="169"/>
              <w:spacing w:after="0" w:line="129" w:lineRule="exact"/>
              <w:rPr>
                <w:sz w:val="20"/>
                <w:szCs w:val="20"/>
                <w:color w:val="auto"/>
              </w:rPr>
            </w:pPr>
            <w:r>
              <w:rPr>
                <w:rFonts w:ascii="Times New Roman" w:cs="Times New Roman" w:eastAsia="Times New Roman" w:hAnsi="Times New Roman"/>
                <w:sz w:val="14"/>
                <w:szCs w:val="14"/>
                <w:b w:val="1"/>
                <w:bCs w:val="1"/>
                <w:color w:val="auto"/>
                <w:w w:val="98"/>
              </w:rPr>
              <w:t>Period from</w:t>
            </w:r>
          </w:p>
        </w:tc>
        <w:tc>
          <w:tcPr>
            <w:tcW w:w="400" w:type="dxa"/>
            <w:vAlign w:val="bottom"/>
          </w:tcPr>
          <w:p>
            <w:pPr>
              <w:spacing w:after="0"/>
              <w:rPr>
                <w:sz w:val="11"/>
                <w:szCs w:val="11"/>
                <w:color w:val="auto"/>
              </w:rPr>
            </w:pPr>
          </w:p>
        </w:tc>
        <w:tc>
          <w:tcPr>
            <w:tcW w:w="1900" w:type="dxa"/>
            <w:vAlign w:val="bottom"/>
          </w:tcPr>
          <w:p>
            <w:pPr>
              <w:jc w:val="center"/>
              <w:ind w:right="40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tcBorders>
              <w:right w:val="single" w:sz="8" w:color="auto"/>
            </w:tcBorders>
          </w:tcPr>
          <w:p>
            <w:pPr>
              <w:jc w:val="center"/>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October 2, 2024 through December</w:t>
            </w:r>
          </w:p>
        </w:tc>
        <w:tc>
          <w:tcPr>
            <w:tcW w:w="23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January 1, 2024 through October 1,</w:t>
            </w:r>
          </w:p>
        </w:tc>
        <w:tc>
          <w:tcPr>
            <w:tcW w:w="220" w:type="dxa"/>
            <w:vAlign w:val="bottom"/>
          </w:tcPr>
          <w:p>
            <w:pPr>
              <w:spacing w:after="0"/>
              <w:rPr>
                <w:sz w:val="11"/>
                <w:szCs w:val="11"/>
                <w:color w:val="auto"/>
              </w:rPr>
            </w:pPr>
          </w:p>
        </w:tc>
        <w:tc>
          <w:tcPr>
            <w:tcW w:w="21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7"/>
              </w:rPr>
              <w:t>31, 2024</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right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1,341</w:t>
            </w:r>
          </w:p>
        </w:tc>
        <w:tc>
          <w:tcPr>
            <w:tcW w:w="4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918</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units granted</w:t>
            </w:r>
          </w:p>
        </w:tc>
        <w:tc>
          <w:tcPr>
            <w:tcW w:w="100" w:type="dxa"/>
            <w:vAlign w:val="bottom"/>
          </w:tcPr>
          <w:p>
            <w:pPr>
              <w:spacing w:after="0"/>
              <w:rPr>
                <w:sz w:val="15"/>
                <w:szCs w:val="15"/>
                <w:color w:val="auto"/>
              </w:rPr>
            </w:pPr>
          </w:p>
        </w:tc>
        <w:tc>
          <w:tcPr>
            <w:tcW w:w="2320" w:type="dxa"/>
            <w:vAlign w:val="bottom"/>
            <w:tcBorders>
              <w:right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168,500</w:t>
            </w:r>
          </w:p>
        </w:tc>
        <w:tc>
          <w:tcPr>
            <w:tcW w:w="400" w:type="dxa"/>
            <w:vAlign w:val="bottom"/>
          </w:tcPr>
          <w:p>
            <w:pPr>
              <w:spacing w:after="0"/>
              <w:rPr>
                <w:sz w:val="15"/>
                <w:szCs w:val="15"/>
                <w:color w:val="auto"/>
              </w:rPr>
            </w:pPr>
          </w:p>
        </w:tc>
        <w:tc>
          <w:tcPr>
            <w:tcW w:w="1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110,000</w:t>
            </w:r>
          </w:p>
        </w:tc>
        <w:tc>
          <w:tcPr>
            <w:tcW w:w="2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365,500</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20" w:type="dxa"/>
            <w:vAlign w:val="bottom"/>
            <w:tcBorders>
              <w:right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46.38</w:t>
            </w:r>
          </w:p>
        </w:tc>
        <w:tc>
          <w:tcPr>
            <w:tcW w:w="4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4.41</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1"/>
          <w:szCs w:val="11"/>
          <w:color w:val="auto"/>
        </w:rPr>
        <w:t>Note: The grant date fair value per share for the year ended December 31, 2023 is an average amount.</w:t>
      </w:r>
    </w:p>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Series A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Revenues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the Company began selling products and services in its technology segment.</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w:t>
      </w:r>
    </w:p>
    <w:p>
      <w:pPr>
        <w:sectPr>
          <w:pgSz w:w="11900" w:h="16838" w:orient="portrait"/>
          <w:cols w:equalWidth="0" w:num="1">
            <w:col w:w="11280"/>
          </w:cols>
          <w:pgMar w:left="300" w:top="125" w:right="319" w:bottom="1440" w:gutter="0" w:footer="0" w:header="0"/>
        </w:sectPr>
      </w:pP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the breakout of revenue by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Product revenue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Management fees - related party</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Consulting revenue</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revenue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major customer concentration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Customer A - Related Party</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Customer B - Related Party</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Customer C</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Customer D</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Customer E</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Total Revenue Concentration of Major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20" w:type="dxa"/>
            <w:vAlign w:val="bottom"/>
          </w:tcPr>
          <w:p>
            <w:pPr>
              <w:spacing w:after="0"/>
              <w:rPr>
                <w:sz w:val="16"/>
                <w:szCs w:val="16"/>
                <w:color w:val="auto"/>
              </w:rPr>
            </w:pPr>
          </w:p>
        </w:tc>
      </w:tr>
      <w:tr>
        <w:trPr>
          <w:trHeight w:val="22"/>
        </w:trPr>
        <w:tc>
          <w:tcPr>
            <w:tcW w:w="2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165"/>
        </w:trPr>
        <w:tc>
          <w:tcPr>
            <w:tcW w:w="28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86"/>
        </w:trPr>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4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2"/>
        </w:trPr>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4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456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1,117</w:t>
            </w:r>
          </w:p>
        </w:tc>
      </w:tr>
      <w:tr>
        <w:trPr>
          <w:trHeight w:val="22"/>
        </w:trPr>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78"/>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20" w:type="dxa"/>
            <w:vAlign w:val="bottom"/>
          </w:tcPr>
          <w:p>
            <w:pPr>
              <w:spacing w:after="0"/>
              <w:rPr>
                <w:sz w:val="24"/>
                <w:szCs w:val="24"/>
                <w:color w:val="auto"/>
              </w:rPr>
            </w:pPr>
          </w:p>
        </w:tc>
      </w:tr>
      <w:tr>
        <w:trPr>
          <w:trHeight w:val="22"/>
        </w:trPr>
        <w:tc>
          <w:tcPr>
            <w:tcW w:w="16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r>
      <w:tr>
        <w:trPr>
          <w:trHeight w:val="165"/>
        </w:trPr>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168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6"/>
        </w:trPr>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70.7 %</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12.4 %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2"/>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97.8 %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100.0 %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100.0 %</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-2182495</wp:posOffset>
            </wp:positionV>
            <wp:extent cx="7161530" cy="134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-1912620</wp:posOffset>
            </wp:positionV>
            <wp:extent cx="7161530"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-841375</wp:posOffset>
            </wp:positionV>
            <wp:extent cx="7161530" cy="134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-572135</wp:posOffset>
            </wp:positionV>
            <wp:extent cx="7161530" cy="134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-302260</wp:posOffset>
            </wp:positionV>
            <wp:extent cx="7161530" cy="134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6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Income Taxes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The provision for income taxes was as follows: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3000" w:type="dxa"/>
            <w:vAlign w:val="bottom"/>
            <w:gridSpan w:val="4"/>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Expense:</w:t>
            </w: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Expense</w:t>
            </w: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Expense:</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60" w:type="dxa"/>
            <w:vAlign w:val="bottom"/>
          </w:tcPr>
          <w:p>
            <w:pPr>
              <w:spacing w:after="0"/>
              <w:rPr>
                <w:sz w:val="16"/>
                <w:szCs w:val="16"/>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7"/>
              </w:rPr>
              <w:t>(3,301)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right w:val="single" w:sz="8" w:color="auto"/>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Expense</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w w:val="97"/>
              </w:rPr>
              <w:t>(3,301)</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w w:val="97"/>
              </w:rPr>
              <w:t>(3,282)</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expected statutory federal tax and the total income tax expense (benefit)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68"/>
        </w:trPr>
        <w:tc>
          <w:tcPr>
            <w:tcW w:w="6340" w:type="dxa"/>
            <w:vAlign w:val="bottom"/>
          </w:tcPr>
          <w:p>
            <w:pPr>
              <w:spacing w:after="0"/>
              <w:rPr>
                <w:sz w:val="14"/>
                <w:szCs w:val="14"/>
                <w:color w:val="auto"/>
              </w:rPr>
            </w:pPr>
          </w:p>
        </w:tc>
        <w:tc>
          <w:tcPr>
            <w:tcW w:w="16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October 2, 2024 through</w:t>
            </w:r>
          </w:p>
        </w:tc>
        <w:tc>
          <w:tcPr>
            <w:tcW w:w="6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4"/>
                <w:szCs w:val="14"/>
                <w:color w:val="auto"/>
              </w:rPr>
            </w:pPr>
          </w:p>
        </w:tc>
        <w:tc>
          <w:tcPr>
            <w:tcW w:w="14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r>
      <w:tr>
        <w:trPr>
          <w:trHeight w:val="186"/>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Pre-tax book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(73,375)</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at federal statutory rate</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taxes, net of federal benefit</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on pre-tax earnings of corporate subsidiaries</w:t>
            </w: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expenses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earnout fair value</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191"/>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credit</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provision (benefit)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(3,282)</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2024 and 2023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4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2"/>
        </w:trPr>
        <w:tc>
          <w:tcPr>
            <w:tcW w:w="8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R&amp;D expense</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assets and intangibles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r>
      <w:tr>
        <w:trPr>
          <w:trHeight w:val="22"/>
        </w:trPr>
        <w:tc>
          <w:tcPr>
            <w:tcW w:w="8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Reserves and other accruals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carry-forwards and other tax attributes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Assets</w:t>
            </w:r>
          </w:p>
        </w:tc>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6,410</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w:t>
            </w: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14,704</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r>
      <w:tr>
        <w:trPr>
          <w:trHeight w:val="192"/>
        </w:trPr>
        <w:tc>
          <w:tcPr>
            <w:tcW w:w="80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(38,443)</w:t>
            </w:r>
          </w:p>
        </w:tc>
        <w:tc>
          <w:tcPr>
            <w:tcW w:w="1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2"/>
        </w:trPr>
        <w:tc>
          <w:tcPr>
            <w:tcW w:w="8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Partnerships</w:t>
            </w: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Deferred Tax Liabilities</w:t>
            </w:r>
          </w:p>
        </w:tc>
        <w:tc>
          <w:tcPr>
            <w:tcW w:w="5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(42,057)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w:t>
            </w:r>
          </w:p>
        </w:tc>
      </w:tr>
      <w:tr>
        <w:trPr>
          <w:trHeight w:val="18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Liabilities</w:t>
            </w:r>
          </w:p>
        </w:tc>
        <w:tc>
          <w:tcPr>
            <w:tcW w:w="58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(27,353)</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
        </w:trPr>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utilization of net operating loss carryforwards, the reversal of deferred tax liabilities, projected taxable income, and tax-planning strategies.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Valuation allowances are established when it is more likely than not that all or a portion of a deferred tax asset will not be realized. The valuation allowance on deferred tax assets was $11,664 as of December 31, 2024 and $5,910 as of December 31, 2023, resulting in a net change of $5,754. The increase in valuation allowance of $15,115 during the period mainly relates to U.S. federal and state operating loss carryforwards and equity based compensation deferred tax assets that were deemed unrealizable. During this period, Accelsius recognized significant deferred tax liabilities from acquired intangible assets as part of the Business Combination. The deferred tax liability provided a new source of income to realize the existing deferred tax assets, which provided enough positive evidence to release the valuation allowance of $9,361.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and 2023,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w:t>
      </w:r>
    </w:p>
    <w:p>
      <w:pPr>
        <w:spacing w:after="0" w:line="82" w:lineRule="exact"/>
        <w:rPr>
          <w:sz w:val="20"/>
          <w:szCs w:val="20"/>
          <w:color w:val="auto"/>
        </w:rPr>
      </w:pPr>
    </w:p>
    <w:p>
      <w:pPr>
        <w:ind w:right="1400"/>
        <w:spacing w:after="0" w:line="442" w:lineRule="auto"/>
        <w:rPr>
          <w:sz w:val="20"/>
          <w:szCs w:val="20"/>
          <w:color w:val="auto"/>
        </w:rPr>
      </w:pPr>
      <w:r>
        <w:rPr>
          <w:rFonts w:ascii="Times New Roman" w:cs="Times New Roman" w:eastAsia="Times New Roman" w:hAnsi="Times New Roman"/>
          <w:sz w:val="14"/>
          <w:szCs w:val="14"/>
          <w:color w:val="auto"/>
        </w:rPr>
        <w:t xml:space="preserve">As of December 31, 2024, tax years 2022 through 2024 remain open and subject to examination by the Internal Revenue Service and the states where the Company has nexus. </w:t>
      </w:r>
      <w:r>
        <w:rPr>
          <w:rFonts w:ascii="Times New Roman" w:cs="Times New Roman" w:eastAsia="Times New Roman" w:hAnsi="Times New Roman"/>
          <w:sz w:val="14"/>
          <w:szCs w:val="14"/>
          <w:b w:val="1"/>
          <w:bCs w:val="1"/>
          <w:color w:val="auto"/>
        </w:rPr>
        <w:t>Note 17. Net Loss Per Share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in the table below is a reconciliation of the numerator and denominator for the EPS calculations for the Successor period from October 2, 2024 through December 31,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ind w:left="2506"/>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ind w:left="2506"/>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ind w:left="2506"/>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161530" cy="13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Numerator: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 attributable to Innventure, Inc.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Cumulative earnings to participating securities</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Undistributed loss for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Less: Undistributed loss attributable to participating securities</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161530"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number of units outstanding, basic and diluted</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attributable to common shareholders,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6"/>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15875</wp:posOffset>
            </wp:positionV>
            <wp:extent cx="11455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21" w:lineRule="exact"/>
        <w:rPr>
          <w:sz w:val="20"/>
          <w:szCs w:val="20"/>
          <w:color w:val="auto"/>
        </w:rPr>
      </w:pPr>
    </w:p>
    <w:p>
      <w:pPr>
        <w:ind w:left="146"/>
        <w:spacing w:after="0"/>
        <w:rPr>
          <w:sz w:val="20"/>
          <w:szCs w:val="20"/>
          <w:color w:val="auto"/>
        </w:rPr>
      </w:pPr>
      <w:r>
        <w:rPr>
          <w:rFonts w:ascii="Times New Roman" w:cs="Times New Roman" w:eastAsia="Times New Roman" w:hAnsi="Times New Roman"/>
          <w:sz w:val="14"/>
          <w:szCs w:val="14"/>
          <w:b w:val="1"/>
          <w:bCs w:val="1"/>
          <w:color w:val="auto"/>
        </w:rPr>
        <w:t>October 2, 2024 through</w:t>
      </w:r>
    </w:p>
    <w:p>
      <w:pPr>
        <w:spacing w:after="0" w:line="25"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49" w:lineRule="exact"/>
        <w:rPr>
          <w:sz w:val="20"/>
          <w:szCs w:val="20"/>
          <w:color w:val="auto"/>
        </w:rPr>
      </w:pPr>
    </w:p>
    <w:p>
      <w:pPr>
        <w:ind w:left="1286" w:hanging="1286"/>
        <w:spacing w:after="0"/>
        <w:tabs>
          <w:tab w:leader="none" w:pos="128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(61,754)</w:t>
      </w:r>
    </w:p>
    <w:p>
      <w:pPr>
        <w:spacing w:after="0" w:line="51" w:lineRule="exact"/>
        <w:rPr>
          <w:rFonts w:ascii="Times New Roman" w:cs="Times New Roman" w:eastAsia="Times New Roman" w:hAnsi="Times New Roman"/>
          <w:sz w:val="14"/>
          <w:szCs w:val="14"/>
          <w:color w:val="auto"/>
        </w:rPr>
      </w:pPr>
    </w:p>
    <w:p>
      <w:pPr>
        <w:ind w:left="152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14554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4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(61,971)</w:t>
      </w:r>
    </w:p>
    <w:p>
      <w:pPr>
        <w:spacing w:after="0" w:line="5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1455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42" w:lineRule="exact"/>
        <w:rPr>
          <w:sz w:val="20"/>
          <w:szCs w:val="20"/>
          <w:color w:val="auto"/>
        </w:rPr>
      </w:pPr>
    </w:p>
    <w:p>
      <w:pPr>
        <w:ind w:left="1286" w:hanging="1286"/>
        <w:spacing w:after="0"/>
        <w:tabs>
          <w:tab w:leader="none" w:pos="128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(61,971)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14554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346"/>
        <w:spacing w:after="0"/>
        <w:rPr>
          <w:sz w:val="20"/>
          <w:szCs w:val="20"/>
          <w:color w:val="auto"/>
        </w:rPr>
      </w:pPr>
      <w:r>
        <w:rPr>
          <w:rFonts w:ascii="Times New Roman" w:cs="Times New Roman" w:eastAsia="Times New Roman" w:hAnsi="Times New Roman"/>
          <w:sz w:val="14"/>
          <w:szCs w:val="14"/>
          <w:color w:val="auto"/>
        </w:rPr>
        <w:t>43,951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11455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40" w:lineRule="exact"/>
        <w:rPr>
          <w:sz w:val="20"/>
          <w:szCs w:val="20"/>
          <w:color w:val="auto"/>
        </w:rPr>
      </w:pPr>
    </w:p>
    <w:p>
      <w:pPr>
        <w:ind w:left="1426" w:hanging="1426"/>
        <w:spacing w:after="0"/>
        <w:tabs>
          <w:tab w:leader="none" w:pos="1426"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29845</wp:posOffset>
            </wp:positionV>
            <wp:extent cx="114554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4554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50165</wp:posOffset>
            </wp:positionV>
            <wp:extent cx="11455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45540"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774" w:space="720"/>
            <w:col w:w="1786"/>
          </w:cols>
          <w:pgMar w:left="300" w:top="125" w:right="31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loss per share was the same for each period presented as the inclusion of all potential common stock outstanding would have been anti-dilutive.</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following table presents the potential common stock outstanding that was excluded from the computation of diluted net loss per share of common stock for the periods presented because including them would have been antidilutive:</w:t>
      </w:r>
    </w:p>
    <w:tbl>
      <w:tblPr>
        <w:tblLayout w:type="fixed"/>
        <w:tblInd w:w="0" w:type="dxa"/>
        <w:tblCellMar>
          <w:top w:w="0" w:type="dxa"/>
          <w:left w:w="0" w:type="dxa"/>
          <w:bottom w:w="0" w:type="dxa"/>
          <w:right w:w="0" w:type="dxa"/>
        </w:tblCellMar>
      </w:tblPr>
      <w:tr>
        <w:trPr>
          <w:trHeight w:val="186"/>
        </w:trPr>
        <w:tc>
          <w:tcPr>
            <w:tcW w:w="9480" w:type="dxa"/>
            <w:vAlign w:val="bottom"/>
          </w:tcPr>
          <w:p>
            <w:pPr>
              <w:spacing w:after="0"/>
              <w:rPr>
                <w:sz w:val="16"/>
                <w:szCs w:val="16"/>
                <w:color w:val="auto"/>
              </w:rPr>
            </w:pPr>
          </w:p>
        </w:tc>
        <w:tc>
          <w:tcPr>
            <w:tcW w:w="18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81"/>
        </w:trPr>
        <w:tc>
          <w:tcPr>
            <w:tcW w:w="9480" w:type="dxa"/>
            <w:vAlign w:val="bottom"/>
          </w:tcPr>
          <w:p>
            <w:pPr>
              <w:spacing w:after="0"/>
              <w:rPr>
                <w:sz w:val="15"/>
                <w:szCs w:val="15"/>
                <w:color w:val="auto"/>
              </w:rPr>
            </w:pPr>
          </w:p>
        </w:tc>
        <w:tc>
          <w:tcPr>
            <w:tcW w:w="18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94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11,500,000</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placement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7,146,000</w:t>
            </w:r>
          </w:p>
        </w:tc>
      </w:tr>
      <w:tr>
        <w:trPr>
          <w:trHeight w:val="22"/>
        </w:trPr>
        <w:tc>
          <w:tcPr>
            <w:tcW w:w="9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WTI warrants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r>
      <w:tr>
        <w:trPr>
          <w:trHeight w:val="212"/>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1,011,869</w:t>
            </w:r>
          </w:p>
        </w:tc>
      </w:tr>
      <w:tr>
        <w:trPr>
          <w:trHeight w:val="21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options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975,409</w:t>
            </w:r>
          </w:p>
        </w:tc>
      </w:tr>
      <w:tr>
        <w:trPr>
          <w:trHeight w:val="212"/>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2,036,476</w:t>
            </w:r>
          </w:p>
        </w:tc>
      </w:tr>
      <w:tr>
        <w:trPr>
          <w:trHeight w:val="181"/>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320,000</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Related Party Transactions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Directors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Innventure1</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the ESG Fund</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as of December 31, 2023 was $294 and is included in Related party payables in the consolidated balance sheets.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2023, the Company sold 23,712 of Accelsius Class A Series 2 Units to the ESG Fund for aggregate proceeds of approximately $104. This amount is reflected in Non-controlling interests in the consolidated statements of changes in stockholders' equity (deficit).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AeroFlexx</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PCT Guaranty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Agreement Contingent Fees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Minimum royalties included in Patent installment payables on the consolidated balance sheets are due as follows: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2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2"/>
        </w:trPr>
        <w:tc>
          <w:tcPr>
            <w:tcW w:w="9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22"/>
        </w:trPr>
        <w:tc>
          <w:tcPr>
            <w:tcW w:w="9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9,075</w:t>
            </w:r>
          </w:p>
        </w:tc>
      </w:tr>
      <w:tr>
        <w:trPr>
          <w:trHeight w:val="22"/>
        </w:trPr>
        <w:tc>
          <w:tcPr>
            <w:tcW w:w="9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13,600</w:t>
            </w: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and Royalty Commitments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Technology License, the Company is committed to pay annual royalties based on Refinity related gross sales and licensing revenue starting in 2025. As of December 31, 2024, no royalty payments were made to the third party.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Business Segment Data</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 are not eliminated from segment results when management considers those transactions in assessing the results of the Technology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940" w:type="dxa"/>
            <w:vAlign w:val="bottom"/>
            <w:tcBorders>
              <w:top w:val="single" w:sz="8" w:color="auto"/>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Borders>
              <w:top w:val="single" w:sz="8" w:color="auto"/>
              <w:bottom w:val="single" w:sz="8" w:color="auto"/>
            </w:tcBorders>
          </w:tcPr>
          <w:p>
            <w:pPr>
              <w:spacing w:after="0"/>
              <w:rPr>
                <w:sz w:val="16"/>
                <w:szCs w:val="16"/>
                <w:color w:val="auto"/>
              </w:rPr>
            </w:pPr>
          </w:p>
        </w:tc>
      </w:tr>
      <w:tr>
        <w:trPr>
          <w:trHeight w:val="150"/>
        </w:trPr>
        <w:tc>
          <w:tcPr>
            <w:tcW w:w="6320" w:type="dxa"/>
            <w:vAlign w:val="bottom"/>
          </w:tcPr>
          <w:p>
            <w:pPr>
              <w:spacing w:after="0"/>
              <w:rPr>
                <w:sz w:val="13"/>
                <w:szCs w:val="13"/>
                <w:color w:val="auto"/>
              </w:rPr>
            </w:pPr>
          </w:p>
        </w:tc>
        <w:tc>
          <w:tcPr>
            <w:tcW w:w="1680" w:type="dxa"/>
            <w:vAlign w:val="bottom"/>
            <w:tcBorders>
              <w:right w:val="single" w:sz="8" w:color="auto"/>
            </w:tcBorders>
            <w:gridSpan w:val="3"/>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60" w:type="dxa"/>
            <w:vAlign w:val="bottom"/>
          </w:tcPr>
          <w:p>
            <w:pPr>
              <w:spacing w:after="0"/>
              <w:rPr>
                <w:sz w:val="13"/>
                <w:szCs w:val="13"/>
                <w:color w:val="auto"/>
              </w:rPr>
            </w:pPr>
          </w:p>
        </w:tc>
        <w:tc>
          <w:tcPr>
            <w:tcW w:w="1660" w:type="dxa"/>
            <w:vAlign w:val="bottom"/>
            <w:gridSpan w:val="3"/>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5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201"/>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480" w:type="dxa"/>
            <w:vAlign w:val="bottom"/>
          </w:tcPr>
          <w:p>
            <w:pPr>
              <w:spacing w:after="0"/>
              <w:rPr>
                <w:sz w:val="17"/>
                <w:szCs w:val="17"/>
                <w:color w:val="auto"/>
              </w:rPr>
            </w:pPr>
          </w:p>
        </w:tc>
        <w:tc>
          <w:tcPr>
            <w:tcW w:w="1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5"/>
                <w:szCs w:val="15"/>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2"/>
        </w:trPr>
        <w:tc>
          <w:tcPr>
            <w:tcW w:w="6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Employee costs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w:t>
            </w:r>
          </w:p>
        </w:tc>
      </w:tr>
      <w:tr>
        <w:trPr>
          <w:trHeight w:val="180"/>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Facilities, equipment &amp; supplies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Outside services</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8,991</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10,631</w:t>
            </w:r>
          </w:p>
        </w:tc>
      </w:tr>
      <w:tr>
        <w:trPr>
          <w:trHeight w:val="202"/>
        </w:trPr>
        <w:tc>
          <w:tcPr>
            <w:tcW w:w="6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6"/>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(8,758)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(16,652)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Represents depreciation not already included in Cost of sales.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Other - change in fair value of financial liabilities, loss on conversion of promissory notes, travel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reconciles the reportable segment to amounts reflected in our consolidated financial statements.</w:t>
            </w: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320" w:type="dxa"/>
            <w:vAlign w:val="bottom"/>
          </w:tcPr>
          <w:p>
            <w:pPr>
              <w:spacing w:after="0"/>
              <w:rPr>
                <w:sz w:val="13"/>
                <w:szCs w:val="13"/>
                <w:color w:val="auto"/>
              </w:rPr>
            </w:pPr>
          </w:p>
        </w:tc>
        <w:tc>
          <w:tcPr>
            <w:tcW w:w="1660" w:type="dxa"/>
            <w:vAlign w:val="bottom"/>
            <w:gridSpan w:val="3"/>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20" w:type="dxa"/>
            <w:vAlign w:val="bottom"/>
            <w:shd w:val="clear" w:color="auto" w:fill="000000"/>
          </w:tcPr>
          <w:p>
            <w:pPr>
              <w:spacing w:after="0"/>
              <w:rPr>
                <w:sz w:val="13"/>
                <w:szCs w:val="13"/>
                <w:color w:val="auto"/>
              </w:rPr>
            </w:pPr>
          </w:p>
        </w:tc>
        <w:tc>
          <w:tcPr>
            <w:tcW w:w="1720" w:type="dxa"/>
            <w:vAlign w:val="bottom"/>
            <w:gridSpan w:val="3"/>
          </w:tcPr>
          <w:p>
            <w:pPr>
              <w:jc w:val="center"/>
              <w:ind w:right="40"/>
              <w:spacing w:after="0" w:line="150"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560" w:type="dxa"/>
            <w:vAlign w:val="bottom"/>
            <w:gridSpan w:val="2"/>
          </w:tcPr>
          <w:p>
            <w:pPr>
              <w:spacing w:after="0" w:line="150"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shd w:val="clear" w:color="auto" w:fill="000000"/>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480" w:type="dxa"/>
            <w:vAlign w:val="bottom"/>
          </w:tcPr>
          <w:p>
            <w:pPr>
              <w:spacing w:after="0"/>
              <w:rPr>
                <w:sz w:val="17"/>
                <w:szCs w:val="17"/>
                <w:color w:val="auto"/>
              </w:rPr>
            </w:pPr>
          </w:p>
        </w:tc>
        <w:tc>
          <w:tcPr>
            <w:tcW w:w="1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6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60" w:type="dxa"/>
            <w:vAlign w:val="bottom"/>
            <w:tcBorders>
              <w:left w:val="single" w:sz="8" w:color="CCEEFF"/>
            </w:tcBorders>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 of management services provided to Technology</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left w:val="single" w:sz="8" w:color="CCEEFF"/>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1,117</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Borders>
              <w:left w:val="single" w:sz="8" w:color="CCEEFF"/>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Interest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1,367</w:t>
            </w: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left w:val="single" w:sz="8" w:color="CCEEFF"/>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 Expense:</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Depreciation and Amortization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5,455</w:t>
            </w:r>
          </w:p>
        </w:tc>
        <w:tc>
          <w:tcPr>
            <w:tcW w:w="10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c>
          <w:tcPr>
            <w:tcW w:w="2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w:t>
            </w: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0" w:type="dxa"/>
            <w:vAlign w:val="bottom"/>
          </w:tcPr>
          <w:p>
            <w:pPr>
              <w:spacing w:after="0"/>
              <w:rPr>
                <w:sz w:val="1"/>
                <w:szCs w:val="1"/>
                <w:color w:val="auto"/>
              </w:rPr>
            </w:pPr>
          </w:p>
        </w:tc>
      </w:tr>
      <w:tr>
        <w:trPr>
          <w:trHeight w:val="18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(61,335)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(11,546)</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(70,093)</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left w:val="single" w:sz="8" w:color="CCEEFF"/>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(28,198)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(30,984)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Capital Expenditures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2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736</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0"/>
        <w:spacing w:after="0" w:line="411" w:lineRule="auto"/>
        <w:rPr>
          <w:sz w:val="20"/>
          <w:szCs w:val="20"/>
          <w:color w:val="auto"/>
        </w:rPr>
      </w:pPr>
      <w:r>
        <w:rPr>
          <w:rFonts w:ascii="Times New Roman" w:cs="Times New Roman" w:eastAsia="Times New Roman" w:hAnsi="Times New Roman"/>
          <w:sz w:val="14"/>
          <w:szCs w:val="14"/>
          <w:color w:val="auto"/>
        </w:rPr>
        <w:t xml:space="preserve">All long-lived assets are located entirely in the United States of America (USA). Segment assets are not reviewed by the CODM and therefore are not disclosed. </w:t>
      </w:r>
      <w:r>
        <w:rPr>
          <w:rFonts w:ascii="Times New Roman" w:cs="Times New Roman" w:eastAsia="Times New Roman" w:hAnsi="Times New Roman"/>
          <w:sz w:val="14"/>
          <w:szCs w:val="14"/>
          <w:b w:val="1"/>
          <w:bCs w:val="1"/>
          <w:color w:val="auto"/>
        </w:rPr>
        <w:t>Note 21. Subsequent Events</w:t>
      </w: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sold 422,999 of Accelsius Series A Units for aggregate proceeds of approximately $5,150. This amount will be reflected in non-controlling interests in the consolidated statements of changes in stockholders' equity (deficit) in future periods.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7, 2025, the VWAP Completion Event, as discussed in Note 10. Earnout Shares, occurred and 344,828 Sponsor Earnout Shares vested and were no longer subject to contingencies.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Board determined that as of January 8, 2025, the creation of Refinity, a consolidated subsidiary of the Company, satisfied the vesting condition applicable to Milestone 2 of the Company Earnout Shares. As such, 2,000,000 shares of common stock were issued on February 4, 2025 as a result of the satisfaction of the Milestone.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3, 2025, and February 27, 2025, two of the Company’s Series 1 Promissory Notes, discussed in Note 5. Borrowings, matured in an aggregate amount of $300 and were paid as they became due.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3, 2025, the Company issued 85,471 shares of Common Stock for financial advisory and investment banking services rendered.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Innventure,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or per share data)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 Approved by the Board of Directors, this dividend payment is in accordance with the Investment Agreement dated September 27, 2024.</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w:t>
      </w:r>
    </w:p>
    <w:p>
      <w:pPr>
        <w:spacing w:after="0" w:line="3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24, 2025, the Company issued an aggregate of 300,000 shares of Series C Preferred Stock for financial advisory and merchant banking services rendered.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this Form 10-K,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under the Exchange Act) that are designed to ensure that information required to be disclosed in our reports filed or submitted under the Exchange Act is recorded, processed, summarized and reported, within the time periods specified in the SEC’s rules and forms, including ensuring that such information is communicated to our Chief Executive Officer and Chief Financial Officer, as appropriate, to allow timely decisions regarding required disclosure.</w:t>
      </w:r>
    </w:p>
    <w:p>
      <w:pPr>
        <w:spacing w:after="0" w:line="1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The Company’s management, including our Chief Executive Officer and Chief Financial Officer, does not expect that the Company’s disclosure controls and procedures or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5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of December 31, 2024. Based upon this evaluation, our Chief Executive Officer and Chief Financial Officer concluded that, as of December 31, 2024, our disclosure controls and procedures were not effective due to the previously reported material weaknesses described in Part I, Item 4. Controls and Procedures of our Quarterly Report on Form 10-Q for the quarter ended September 30,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material weaknesses identified were as follows:</w:t>
      </w:r>
    </w:p>
    <w:p>
      <w:pPr>
        <w:spacing w:after="0" w:line="179" w:lineRule="exact"/>
        <w:rPr>
          <w:sz w:val="20"/>
          <w:szCs w:val="20"/>
          <w:color w:val="auto"/>
        </w:rPr>
      </w:pPr>
    </w:p>
    <w:p>
      <w:pPr>
        <w:ind w:left="520" w:right="60" w:hanging="260"/>
        <w:spacing w:after="0" w:line="246"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52" w:lineRule="exact"/>
        <w:rPr>
          <w:rFonts w:ascii="Times New Roman" w:cs="Times New Roman" w:eastAsia="Times New Roman" w:hAnsi="Times New Roman"/>
          <w:sz w:val="14"/>
          <w:szCs w:val="14"/>
          <w:color w:val="auto"/>
        </w:rPr>
      </w:pPr>
    </w:p>
    <w:p>
      <w:pPr>
        <w:ind w:left="520" w:right="120" w:hanging="260"/>
        <w:spacing w:after="0" w:line="25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Innventure’s system of internal controls over financial reporting did not include necessary information technology general controls including related to (i) periodic user access reviews, (ii) user provisioning and de-provisioning, (iii) restriction of privileged access and (iv) authentication settings;</w:t>
      </w:r>
    </w:p>
    <w:p>
      <w:pPr>
        <w:spacing w:after="0" w:line="156" w:lineRule="exact"/>
        <w:rPr>
          <w:rFonts w:ascii="Times New Roman" w:cs="Times New Roman" w:eastAsia="Times New Roman" w:hAnsi="Times New Roman"/>
          <w:sz w:val="14"/>
          <w:szCs w:val="14"/>
          <w:color w:val="auto"/>
        </w:rPr>
      </w:pPr>
    </w:p>
    <w:p>
      <w:pPr>
        <w:ind w:left="520" w:right="100" w:hanging="260"/>
        <w:spacing w:after="0" w:line="25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did not maintain effectively designed and implemented controls over the costing and existence of inventory as of September 30, 2024, including controls over the calculation of such inventory on the weighted average basis;</w:t>
      </w:r>
    </w:p>
    <w:p>
      <w:pPr>
        <w:spacing w:after="0" w:line="167" w:lineRule="exact"/>
        <w:rPr>
          <w:rFonts w:ascii="Times New Roman" w:cs="Times New Roman" w:eastAsia="Times New Roman" w:hAnsi="Times New Roman"/>
          <w:sz w:val="14"/>
          <w:szCs w:val="14"/>
          <w:color w:val="auto"/>
        </w:rPr>
      </w:pPr>
    </w:p>
    <w:p>
      <w:pPr>
        <w:ind w:left="520" w:right="440" w:hanging="260"/>
        <w:spacing w:after="0" w:line="238"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Innventure made an error in its assessment of the accounting acquirer in conjunction with the transaction, which resulted in an incorrect conclusion that the transaction was an asset acquisition. Additionally, management’s controls over the forecast prepared for Accelsius was not effective, resulting in an adjusted forecast for purposes of the purchase accounting;</w:t>
      </w:r>
    </w:p>
    <w:p>
      <w:pPr>
        <w:spacing w:after="0" w:line="167"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Innventure did not maintain evidence of control procedures over the periodic reconciliation of significant accounts. This included lack of segregation of duties and lack of review.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During the quarter ended December 31, 2024,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As discussed elsewhere in this Annual Report, we completed the Business Combination on October 2, 2024. Prior to the Business Combination, Innventure, LLC. was a privately held company and therefore its controls were not required to be designed or maintained in accordance with Exchange Act Rule 13a-15. The design of public company internal controls over financial reporting for the Company following the Business Combination has required and will continue to require significant time and resources from our management and other personnel. Furthermore, Learn SPAC HoldCo, Inc., the legal acquirer in the Business Combination, was a non-operating public shell company prior to the Business Combination, and as such the internal controls of Learn SPAC HoldCo, Inc. no longer exist as of the assessment date. As a result, management was unable, without incurring unreasonable effort or expense, to conduct an assessment of our internal control over financial reporting as of December 31, 2024. Therefore, we are excluding management’s report on internal control over financial reporting pursuant to Section 215.02 of the SEC’s Compliance and Disclosure Interpretations. In the future, management’s assessment of our internal control over financial reporting will include an evaluation of such elements as the design and operating effectiveness of key financial reporting controls, process documentation, accounting policies and our overall control environment. In making this assessment, management will use the criteria set forth by the Committee of Sponsoring Organizations of the Treadway Commission (COSO) in Internal Control -- Integrated Framework Scope of the Controls Evaluation (2013 Framework).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Registered Public Accounting Firm</w:t>
      </w:r>
    </w:p>
    <w:p>
      <w:pPr>
        <w:spacing w:after="0" w:line="382"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4"/>
          <w:szCs w:val="14"/>
          <w:color w:val="auto"/>
        </w:rPr>
        <w:t>Our independent registered public accounting firm is not required to formally attest to the effectiveness of our internal control over financial reporting for as long as we are an “emerging growth company” pursuant to the provisions of the JOBS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Arrangements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During the Company’s fiscal quarter ended December 31, 2024, none of the Company’s directors or officers (as defined in Rule 16a-1(f) of the Exchange Act) adopted, terminated or modified a Rule 10b5-1 trading arrangement or a non-Rule 10b5-1 trading arrangement (as such terms are defined in Item 408 of Regulation 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Class I Directors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Gregory William (“Bill”) Haskell</w:t>
      </w:r>
      <w:r>
        <w:rPr>
          <w:rFonts w:ascii="Times New Roman" w:cs="Times New Roman" w:eastAsia="Times New Roman" w:hAnsi="Times New Roman"/>
          <w:sz w:val="14"/>
          <w:szCs w:val="14"/>
          <w:color w:val="auto"/>
        </w:rPr>
        <w:t>, 68, is Innventure’s CEO and a Class I director. Mr. Haskell previously served as Chief Executive Officer and Manager of Innventure LLC from 2021 until 2024.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1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Daniel J. Hennessy</w:t>
      </w:r>
      <w:r>
        <w:rPr>
          <w:rFonts w:ascii="Times New Roman" w:cs="Times New Roman" w:eastAsia="Times New Roman" w:hAnsi="Times New Roman"/>
          <w:sz w:val="14"/>
          <w:szCs w:val="14"/>
          <w:color w:val="auto"/>
        </w:rPr>
        <w:t>, 67, is a Class I director and Learn CW’s director designee pursuant to the terms of the Business Combination Agreement. Mr. Hennessy currently serves as Chairman and CEO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Hennessy Capital Investment Corp. VII (Nasdaq: HVII)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Michael Amalfitano</w:t>
      </w:r>
      <w:r>
        <w:rPr>
          <w:rFonts w:ascii="Times New Roman" w:cs="Times New Roman" w:eastAsia="Times New Roman" w:hAnsi="Times New Roman"/>
          <w:sz w:val="14"/>
          <w:szCs w:val="14"/>
          <w:color w:val="auto"/>
        </w:rPr>
        <w:t>, 64, is a Class I director of Innventure. Mr. Amalfitano has served as the President and CEO of Embraer Executive Aircraft, Inc., an operating subsidiary of Embraer Aircraft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 Company believes that Mr. Amalfitano is well qualified to serve as a member of the Board due to his years of executive leadership and public company director experience.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Class II Directors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David Yablunosky</w:t>
      </w:r>
      <w:r>
        <w:rPr>
          <w:rFonts w:ascii="Times New Roman" w:cs="Times New Roman" w:eastAsia="Times New Roman" w:hAnsi="Times New Roman"/>
          <w:sz w:val="14"/>
          <w:szCs w:val="14"/>
          <w:color w:val="auto"/>
        </w:rPr>
        <w:t>, 63, is Innventure’s CFO and a Class II director. Mr. Yablunosky has served as CFO of Innventure LLC since 2023. Previously, he was CFO of Embraer Aircraft Holding, Inc.,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James (“Jim”) O. Donnally</w:t>
      </w:r>
      <w:r>
        <w:rPr>
          <w:rFonts w:ascii="Times New Roman" w:cs="Times New Roman" w:eastAsia="Times New Roman" w:hAnsi="Times New Roman"/>
          <w:sz w:val="14"/>
          <w:szCs w:val="14"/>
          <w:color w:val="auto"/>
        </w:rPr>
        <w:t>, 60, is a Class II director of Innventure. Mr. Donnally has served as a Manager of Innventure LLC since 2015 and as the Managing Member of Bellringer Consulting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b w:val="1"/>
          <w:bCs w:val="1"/>
          <w:i w:val="1"/>
          <w:iCs w:val="1"/>
          <w:color w:val="auto"/>
        </w:rPr>
        <w:t>Bruce Brown</w:t>
      </w:r>
      <w:r>
        <w:rPr>
          <w:rFonts w:ascii="Times New Roman" w:cs="Times New Roman" w:eastAsia="Times New Roman" w:hAnsi="Times New Roman"/>
          <w:sz w:val="14"/>
          <w:szCs w:val="14"/>
          <w:color w:val="auto"/>
        </w:rPr>
        <w:t>, 66, is a Class II director of Innventure. Mr. Brown retired from P&amp;G in 2014 after 34 years of service, including six years with the company as Chief Technology Officer (“CTO”),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Class III Directors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Michael (“Mike”) Otworth</w:t>
      </w:r>
      <w:r>
        <w:rPr>
          <w:rFonts w:ascii="Times New Roman" w:cs="Times New Roman" w:eastAsia="Times New Roman" w:hAnsi="Times New Roman"/>
          <w:sz w:val="14"/>
          <w:szCs w:val="14"/>
          <w:color w:val="auto"/>
        </w:rPr>
        <w:t>, 63, is Innventure’s Executive Chairman and a Class III director. Mr. Otworth has served as Executive Chairman of Innventure LLC since 2015. Mr. Otworth was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Founding CEO and Chairman of the Board of PureCycle, an innovative plastic waste processing company, from 2015 to 2022. Mr. Otworth and team took PCT from an early-stage concept to an operational pilot and funded its first commercial plant, followed by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b w:val="1"/>
          <w:bCs w:val="1"/>
          <w:i w:val="1"/>
          <w:iCs w:val="1"/>
          <w:color w:val="auto"/>
        </w:rPr>
        <w:t>Suzanne Niemeyer</w:t>
      </w:r>
      <w:r>
        <w:rPr>
          <w:rFonts w:ascii="Times New Roman" w:cs="Times New Roman" w:eastAsia="Times New Roman" w:hAnsi="Times New Roman"/>
          <w:sz w:val="14"/>
          <w:szCs w:val="14"/>
          <w:color w:val="auto"/>
        </w:rPr>
        <w:t>, 54, is Innventure’s General Counsel and a Class III director. She also serves as a director for Refinity Holdings, LLC. Ms. Niemeyer previously served as the General Counsel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Elizabeth Williams</w:t>
      </w:r>
      <w:r>
        <w:rPr>
          <w:rFonts w:ascii="Times New Roman" w:cs="Times New Roman" w:eastAsia="Times New Roman" w:hAnsi="Times New Roman"/>
          <w:sz w:val="14"/>
          <w:szCs w:val="14"/>
          <w:color w:val="auto"/>
        </w:rPr>
        <w:t>, 56, is a Class III director of Innventure. Ms. Williams has served as Managing Partner and Founder of &amp;Minds Partners, a consulting firm, since 2019 and is also a full time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Executive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Mr. Haskell, our CEO, Mr. Yablunosky and our CFO, Mr. Otworth, our Executive Chairman, our executive officers are:</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Dr. John Scott</w:t>
      </w:r>
      <w:r>
        <w:rPr>
          <w:rFonts w:ascii="Times New Roman" w:cs="Times New Roman" w:eastAsia="Times New Roman" w:hAnsi="Times New Roman"/>
          <w:sz w:val="14"/>
          <w:szCs w:val="14"/>
          <w:color w:val="auto"/>
        </w:rPr>
        <w:t>, 74, is Innventure’s Chief Strategy Officer. Dr. Scott has served as Chief Strategy Officer at Innventure LLC since 2015. Prior to co-founding Innventure LLC, Dr. Scott served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Founder and CEO of XLTG, 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Roland Austrup</w:t>
      </w:r>
      <w:r>
        <w:rPr>
          <w:rFonts w:ascii="Times New Roman" w:cs="Times New Roman" w:eastAsia="Times New Roman" w:hAnsi="Times New Roman"/>
          <w:sz w:val="14"/>
          <w:szCs w:val="14"/>
          <w:color w:val="auto"/>
        </w:rPr>
        <w:t>, 61, is Innventure’s Chief Growth Officer. Roland has served as Innventure LLC’s Chief Growth Officer since June 2024 and as a member of Innventure LLC’s Executive Committee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since 2023. Prior to his change of title to Chief Growth Officer in June 2024, Mr. Austrup had served as Head of Capital Markets since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2023, and he also previously served as Innventure LLC’s CFO from 2021 to 2023. Since 2019, Mr. Austrup has served as Chairman &amp; 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Composition</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series of preferred stock outstanding, directors may be removed only for cause by an affirmative vote of at least two-thirds of the total voting power, at a meeting called for that purpose. The authorized number of directors may be changed by resolution of our Board. Vacancies on our Board can be filled by resolution of our Board.</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46"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 directors are Gregory W. Haskell, Daniel J. Hennessy and Michael Amalfitano, and their terms will expire at this year’s Annual Meeting;</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 directors are David Yablunosky, James O. Donnally and Bruce Brown, and their terms will expire at the annual meeting of stockholders to be held in 2026;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 III directors are Michael Otworth, Suzanne Niemeyer and Elizabeth Williams, and their terms expire at the annual meeting of stockholders to be held in 2027.</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Nominations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Agreements to Nominate Certain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Hennessy is a director designated by Learn CW pursuant to the Business Combination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seven (7) directors, so long as the Founding Investors beneficially own greater than 70% of the outstanding shares of Common Stock;</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six (6) directors, so long as the Founding Investors beneficially own more than 50%, but less than 70%, of the outstanding shares of Common Stock;</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four (4) directors, so long as the Founding Investors beneficially own at least 40%, but less than 50%, of the outstanding shares of Common Stock;</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three (3) directors, so long as the Founding Investors beneficially own at least 20%, but less than 40%, of the outstanding shares of Common Stock;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two (2) director, so long as the Founding Investors beneficially own at least 5%, but less than 20%, of the outstanding common shares of the Company.</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four (4) Founding Investor Nominees.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Nominations &amp; Filling Vacancies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Pursuant to Article VI of our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During 2024, our Board had an Audit Committee, a Compensation Committee, and a Nominating and Corporate Governance (“N&amp;CG”) Committee to support the full Board with various risk management governance, and strategic responsibilities. The current members of these committees are described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155180" cy="5994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5180"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Committee Assignments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Borders>
              <w:top w:val="single" w:sz="8" w:color="auto"/>
              <w:bottom w:val="single" w:sz="8" w:color="auto"/>
              <w:right w:val="single" w:sz="8" w:color="auto"/>
            </w:tcBorders>
          </w:tcPr>
          <w:p>
            <w:pPr>
              <w:spacing w:after="0"/>
              <w:rPr>
                <w:sz w:val="12"/>
                <w:szCs w:val="12"/>
                <w:color w:val="auto"/>
              </w:rPr>
            </w:pP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Donnally</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Brown</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Williams</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Hennessy</w:t>
            </w: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Amalfitano</w:t>
            </w:r>
          </w:p>
        </w:tc>
        <w:tc>
          <w:tcPr>
            <w:tcW w:w="106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Haskell*</w:t>
            </w:r>
          </w:p>
        </w:tc>
        <w:tc>
          <w:tcPr>
            <w:tcW w:w="12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Yablunosky*</w:t>
            </w:r>
          </w:p>
        </w:tc>
        <w:tc>
          <w:tcPr>
            <w:tcW w:w="106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Otworth*</w:t>
            </w:r>
          </w:p>
        </w:tc>
        <w:tc>
          <w:tcPr>
            <w:tcW w:w="10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Niemeyer*</w:t>
            </w:r>
          </w:p>
        </w:tc>
        <w:tc>
          <w:tcPr>
            <w:tcW w:w="20" w:type="dxa"/>
            <w:vAlign w:val="bottom"/>
            <w:tcBorders>
              <w:top w:val="single" w:sz="8" w:color="auto"/>
              <w:bottom w:val="single" w:sz="8" w:color="auto"/>
            </w:tcBorders>
          </w:tcPr>
          <w:p>
            <w:pPr>
              <w:spacing w:after="0"/>
              <w:rPr>
                <w:sz w:val="12"/>
                <w:szCs w:val="12"/>
                <w:color w:val="auto"/>
              </w:rPr>
            </w:pPr>
          </w:p>
        </w:tc>
      </w:tr>
      <w:tr>
        <w:trPr>
          <w:trHeight w:val="172"/>
        </w:trPr>
        <w:tc>
          <w:tcPr>
            <w:tcW w:w="1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C</w:t>
            </w: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22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71"/>
        </w:trPr>
        <w:tc>
          <w:tcPr>
            <w:tcW w:w="15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C</w:t>
            </w:r>
          </w:p>
        </w:tc>
        <w:tc>
          <w:tcPr>
            <w:tcW w:w="10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71"/>
        </w:trPr>
        <w:tc>
          <w:tcPr>
            <w:tcW w:w="15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N&amp;CG</w:t>
            </w: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C</w:t>
            </w: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220" w:type="dxa"/>
            <w:vAlign w:val="bottom"/>
            <w:tcBorders>
              <w:bottom w:val="single" w:sz="8" w:color="auto"/>
              <w:right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All standing committee members are independent.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 independent</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adopted a Code of Business Conduct and Ethics (“Code of Conduct”) applicable to our directors, officers and employees, including our CEO, CFO and other executive and senior financial officers. The Code of Conduct is available on our website at https://ir.innventure.com/corporate-governance/documents-charters. Our Board is responsible for overseeing the Code of Conduct and must approve any amendments, waivers and exceptions to the Code of Conduct for executive officers and directors. Our CFO and General Counsel must approve any amendments, waivers and exceptions to the Code of Conduct for our employees. We intend to disclose future amendments to the Code of Conduct, or waivers of certain provisions as they relate to our directors and executive officers at the same information on our website is not intended to form a part of or be incorporated by reference into this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and Anti-Hedging Policies and Procedures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adopted an insider trading policy (the “Insider Trading Policy”) and procedures applicable to directors, officers, employees, and other covered persons (including family members), and have implemented processes applicable to us, that we believe are reasonably designed to promote compliance with insider trading laws, rules, and regulations, and Nasdaq’s listing standards.</w:t>
      </w:r>
    </w:p>
    <w:p>
      <w:pPr>
        <w:spacing w:after="0" w:line="1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Insider Trading Policy also (i) imposes prohibitions on hedging or monetization transactions, including financial instruments such as prepaid variable forwards, equity swaps, short sale instruments, puts, collars and exchange funds or through other transactions that hedge or offset, or are designed to hedge or offset, any decrease in the market value of the Company’s securities, (ii) discourages pledging, hypothecating or otherwise using the Company’s securities as collateral for a loan or other form of indebtedness, including, without limitation, holding the Company’s securities in a margin account as collateral for a margin loan and (iii) discourages placing standing or limit orders on the Company’s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our Insider Trading Policy is filed as Exhibit 19.1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dollar amounts (“$”) in this section reflect actual amounts.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w:t>
      </w:r>
    </w:p>
    <w:p>
      <w:pPr>
        <w:spacing w:after="0" w:line="251" w:lineRule="auto"/>
        <w:rPr>
          <w:sz w:val="20"/>
          <w:szCs w:val="20"/>
          <w:color w:val="auto"/>
        </w:rPr>
      </w:pPr>
      <w:r>
        <w:rPr>
          <w:rFonts w:ascii="Times New Roman" w:cs="Times New Roman" w:eastAsia="Times New Roman" w:hAnsi="Times New Roman"/>
          <w:sz w:val="14"/>
          <w:szCs w:val="14"/>
          <w:color w:val="auto"/>
        </w:rPr>
        <w:t xml:space="preserve">officer and its two other most highly compensated executive officers. Innventure’s principal executive officer and its </w:t>
      </w:r>
      <w:r>
        <w:rPr>
          <w:rFonts w:ascii="Times New Roman" w:cs="Times New Roman" w:eastAsia="Times New Roman" w:hAnsi="Times New Roman"/>
          <w:sz w:val="16"/>
          <w:szCs w:val="16"/>
          <w:color w:val="auto"/>
        </w:rPr>
        <w:t>two</w:t>
      </w:r>
      <w:r>
        <w:rPr>
          <w:rFonts w:ascii="Times New Roman" w:cs="Times New Roman" w:eastAsia="Times New Roman" w:hAnsi="Times New Roman"/>
          <w:sz w:val="14"/>
          <w:szCs w:val="14"/>
          <w:color w:val="auto"/>
        </w:rPr>
        <w:t xml:space="preserve"> other most highly compensated executive officers are referred to herein as our named executive officers (the “NEOs”).</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Therefore, for the fiscal year ended December 31, 2024, Innventure’s NEOs were:</w:t>
      </w:r>
    </w:p>
    <w:p>
      <w:pPr>
        <w:spacing w:after="0" w:line="210" w:lineRule="exact"/>
        <w:rPr>
          <w:sz w:val="20"/>
          <w:szCs w:val="20"/>
          <w:color w:val="auto"/>
        </w:rPr>
      </w:pPr>
    </w:p>
    <w:p>
      <w:pPr>
        <w:ind w:left="500" w:hanging="240"/>
        <w:spacing w:after="0"/>
        <w:tabs>
          <w:tab w:leader="none" w:pos="50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Gregory W. (Bill) Haskell, Chief Executive Officer and Manager;</w:t>
      </w:r>
    </w:p>
    <w:p>
      <w:pPr>
        <w:spacing w:after="0" w:line="186" w:lineRule="exact"/>
        <w:rPr>
          <w:rFonts w:ascii="Arial" w:cs="Arial" w:eastAsia="Arial" w:hAnsi="Arial"/>
          <w:sz w:val="17"/>
          <w:szCs w:val="17"/>
          <w:color w:val="auto"/>
        </w:rPr>
      </w:pPr>
    </w:p>
    <w:p>
      <w:pPr>
        <w:ind w:left="500" w:hanging="240"/>
        <w:spacing w:after="0"/>
        <w:tabs>
          <w:tab w:leader="none" w:pos="50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Mike Otworth, Executive Chairman; and</w:t>
      </w:r>
    </w:p>
    <w:p>
      <w:pPr>
        <w:spacing w:after="0" w:line="186" w:lineRule="exact"/>
        <w:rPr>
          <w:rFonts w:ascii="Arial" w:cs="Arial" w:eastAsia="Arial" w:hAnsi="Arial"/>
          <w:sz w:val="17"/>
          <w:szCs w:val="17"/>
          <w:color w:val="auto"/>
        </w:rPr>
      </w:pPr>
    </w:p>
    <w:p>
      <w:pPr>
        <w:ind w:left="500" w:hanging="240"/>
        <w:spacing w:after="0"/>
        <w:tabs>
          <w:tab w:leader="none" w:pos="50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4"/>
          <w:szCs w:val="14"/>
          <w:color w:val="auto"/>
        </w:rPr>
        <w:t>Dr. John Scott, Chief Strategy Officer.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Business Combination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Summary Compensation Table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the compensation of Innventure’s NEOs for 2024 and 2023, as applicable.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Fiscal</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150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b w:val="1"/>
                <w:bCs w:val="1"/>
                <w:color w:val="auto"/>
              </w:rPr>
              <w:t>Total ($)</w:t>
            </w:r>
          </w:p>
        </w:tc>
      </w:tr>
      <w:tr>
        <w:trPr>
          <w:trHeight w:val="108"/>
        </w:trPr>
        <w:tc>
          <w:tcPr>
            <w:tcW w:w="1700" w:type="dxa"/>
            <w:vAlign w:val="bottom"/>
            <w:shd w:val="clear" w:color="auto" w:fill="CCEEFF"/>
          </w:tcPr>
          <w:p>
            <w:pPr>
              <w:spacing w:after="0"/>
              <w:rPr>
                <w:sz w:val="9"/>
                <w:szCs w:val="9"/>
                <w:color w:val="auto"/>
              </w:rPr>
            </w:pPr>
          </w:p>
        </w:tc>
        <w:tc>
          <w:tcPr>
            <w:tcW w:w="960" w:type="dxa"/>
            <w:vAlign w:val="bottom"/>
            <w:shd w:val="clear" w:color="auto" w:fill="CCEEFF"/>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w w:val="94"/>
              </w:rPr>
              <w:t>Year</w:t>
            </w:r>
          </w:p>
        </w:tc>
        <w:tc>
          <w:tcPr>
            <w:tcW w:w="1020" w:type="dxa"/>
            <w:vAlign w:val="bottom"/>
            <w:shd w:val="clear" w:color="auto" w:fill="CCEE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($)(1)</w:t>
            </w:r>
          </w:p>
        </w:tc>
        <w:tc>
          <w:tcPr>
            <w:tcW w:w="1080" w:type="dxa"/>
            <w:vAlign w:val="bottom"/>
            <w:shd w:val="clear" w:color="auto" w:fill="CCEE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($)(2)</w:t>
            </w:r>
          </w:p>
        </w:tc>
        <w:tc>
          <w:tcPr>
            <w:tcW w:w="1120" w:type="dxa"/>
            <w:vAlign w:val="bottom"/>
            <w:shd w:val="clear" w:color="auto" w:fill="CCEE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120" w:type="dxa"/>
            <w:vAlign w:val="bottom"/>
            <w:shd w:val="clear" w:color="auto" w:fill="CCEEFF"/>
          </w:tcPr>
          <w:p>
            <w:pPr>
              <w:ind w:left="380"/>
              <w:spacing w:after="0" w:line="108" w:lineRule="exact"/>
              <w:rPr>
                <w:sz w:val="20"/>
                <w:szCs w:val="20"/>
                <w:color w:val="auto"/>
              </w:rPr>
            </w:pPr>
            <w:r>
              <w:rPr>
                <w:rFonts w:ascii="Times New Roman" w:cs="Times New Roman" w:eastAsia="Times New Roman" w:hAnsi="Times New Roman"/>
                <w:sz w:val="11"/>
                <w:szCs w:val="11"/>
                <w:b w:val="1"/>
                <w:bCs w:val="1"/>
                <w:color w:val="auto"/>
              </w:rPr>
              <w:t>Awards</w:t>
            </w:r>
          </w:p>
        </w:tc>
        <w:tc>
          <w:tcPr>
            <w:tcW w:w="1420" w:type="dxa"/>
            <w:vAlign w:val="bottom"/>
            <w:shd w:val="clear" w:color="auto" w:fill="CCEE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500" w:type="dxa"/>
            <w:vAlign w:val="bottom"/>
            <w:shd w:val="clear" w:color="auto" w:fill="CCEEFF"/>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360" w:type="dxa"/>
            <w:vAlign w:val="bottom"/>
            <w:shd w:val="clear" w:color="auto" w:fill="CCEEFF"/>
          </w:tcPr>
          <w:p>
            <w:pPr>
              <w:spacing w:after="0"/>
              <w:rPr>
                <w:sz w:val="9"/>
                <w:szCs w:val="9"/>
                <w:color w:val="auto"/>
              </w:rPr>
            </w:pPr>
          </w:p>
        </w:tc>
      </w:tr>
      <w:tr>
        <w:trPr>
          <w:trHeight w:val="117"/>
        </w:trPr>
        <w:tc>
          <w:tcPr>
            <w:tcW w:w="17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1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($)(3)</w:t>
            </w:r>
          </w:p>
        </w:tc>
        <w:tc>
          <w:tcPr>
            <w:tcW w:w="11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($)(4)</w:t>
            </w:r>
          </w:p>
        </w:tc>
        <w:tc>
          <w:tcPr>
            <w:tcW w:w="14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500" w:type="dxa"/>
            <w:vAlign w:val="bottom"/>
            <w:shd w:val="clear" w:color="auto" w:fill="CCEEFF"/>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($)(5)</w:t>
            </w:r>
          </w:p>
        </w:tc>
        <w:tc>
          <w:tcPr>
            <w:tcW w:w="1360" w:type="dxa"/>
            <w:vAlign w:val="bottom"/>
            <w:shd w:val="clear" w:color="auto" w:fill="CCEEFF"/>
          </w:tcPr>
          <w:p>
            <w:pPr>
              <w:spacing w:after="0"/>
              <w:rPr>
                <w:sz w:val="10"/>
                <w:szCs w:val="10"/>
                <w:color w:val="auto"/>
              </w:rPr>
            </w:pPr>
          </w:p>
        </w:tc>
      </w:tr>
      <w:tr>
        <w:trPr>
          <w:trHeight w:val="158"/>
        </w:trPr>
        <w:tc>
          <w:tcPr>
            <w:tcW w:w="17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r>
      <w:tr>
        <w:trPr>
          <w:trHeight w:val="15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Gregory W. (Bill) Haskell</w:t>
            </w: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9"/>
              </w:rPr>
              <w:t>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2,500,000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13,800</w:t>
            </w: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2,813,800</w:t>
            </w:r>
          </w:p>
        </w:tc>
      </w:tr>
      <w:tr>
        <w:trPr>
          <w:trHeight w:val="16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w:t>
            </w:r>
          </w:p>
        </w:tc>
        <w:tc>
          <w:tcPr>
            <w:tcW w:w="9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w w:val="99"/>
              </w:rPr>
              <w:t>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180,000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12,000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492,000</w:t>
            </w:r>
          </w:p>
        </w:tc>
      </w:tr>
      <w:tr>
        <w:trPr>
          <w:trHeight w:val="15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Mike Otworth</w:t>
            </w: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9"/>
              </w:rPr>
              <w:t>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7,001,001</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7,577,786</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14,878,787</w:t>
            </w:r>
          </w:p>
        </w:tc>
      </w:tr>
      <w:tr>
        <w:trPr>
          <w:trHeight w:val="16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Executive Chairman(6)</w:t>
            </w:r>
          </w:p>
        </w:tc>
        <w:tc>
          <w:tcPr>
            <w:tcW w:w="9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w w:val="99"/>
              </w:rPr>
              <w:t>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180,000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480,000</w:t>
            </w:r>
          </w:p>
        </w:tc>
      </w:tr>
      <w:tr>
        <w:trPr>
          <w:trHeight w:val="153"/>
        </w:trPr>
        <w:tc>
          <w:tcPr>
            <w:tcW w:w="1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John Scott</w:t>
            </w:r>
          </w:p>
        </w:tc>
        <w:tc>
          <w:tcPr>
            <w:tcW w:w="9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w w:val="99"/>
              </w:rPr>
              <w:t>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4,100,005</w:t>
            </w: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6,935,489</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11,335,494</w:t>
            </w:r>
          </w:p>
        </w:tc>
      </w:tr>
      <w:tr>
        <w:trPr>
          <w:trHeight w:val="165"/>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Strategy Officer(7)</w:t>
            </w:r>
          </w:p>
        </w:tc>
        <w:tc>
          <w:tcPr>
            <w:tcW w:w="9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w w:val="99"/>
              </w:rPr>
              <w:t>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300,000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180,000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50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480,000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_______________</w:t>
      </w:r>
    </w:p>
    <w:p>
      <w:pPr>
        <w:spacing w:after="0" w:line="181" w:lineRule="exact"/>
        <w:rPr>
          <w:sz w:val="20"/>
          <w:szCs w:val="20"/>
          <w:color w:val="auto"/>
        </w:rPr>
      </w:pPr>
    </w:p>
    <w:p>
      <w:pPr>
        <w:jc w:val="both"/>
        <w:ind w:left="20" w:right="1660" w:hanging="1"/>
        <w:spacing w:after="0" w:line="233" w:lineRule="auto"/>
        <w:tabs>
          <w:tab w:leader="none" w:pos="181"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w:t>
      </w:r>
    </w:p>
    <w:p>
      <w:pPr>
        <w:spacing w:after="0" w:line="13"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for Mr. Haskell in 2024 represents a transaction bonus earned in connection with the Business Combination.</w:t>
      </w:r>
    </w:p>
    <w:p>
      <w:pPr>
        <w:spacing w:after="0" w:line="32" w:lineRule="exact"/>
        <w:rPr>
          <w:rFonts w:ascii="Times New Roman" w:cs="Times New Roman" w:eastAsia="Times New Roman" w:hAnsi="Times New Roman"/>
          <w:sz w:val="11"/>
          <w:szCs w:val="11"/>
          <w:color w:val="auto"/>
        </w:rPr>
      </w:pPr>
    </w:p>
    <w:p>
      <w:pPr>
        <w:jc w:val="both"/>
        <w:ind w:left="20" w:right="1660" w:hanging="1"/>
        <w:spacing w:after="0" w:line="228" w:lineRule="auto"/>
        <w:tabs>
          <w:tab w:leader="none" w:pos="181"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reflect the aggregate grant date fair value of service-based restricted stock unit (“RSU”) awards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in this Form 10-K. For more information regarding the awards disclosed in this column, see “2024 Equity-Based Compensation” below. The Refinity Incentive Units discussed in such section had an aggregate grant date fair value of $0.</w:t>
      </w:r>
    </w:p>
    <w:p>
      <w:pPr>
        <w:spacing w:after="0" w:line="3" w:lineRule="exact"/>
        <w:rPr>
          <w:rFonts w:ascii="Times New Roman" w:cs="Times New Roman" w:eastAsia="Times New Roman" w:hAnsi="Times New Roman"/>
          <w:sz w:val="11"/>
          <w:szCs w:val="11"/>
          <w:color w:val="auto"/>
        </w:rPr>
      </w:pPr>
    </w:p>
    <w:p>
      <w:pPr>
        <w:jc w:val="both"/>
        <w:ind w:left="20" w:right="1640" w:hanging="1"/>
        <w:spacing w:after="0" w:line="233" w:lineRule="auto"/>
        <w:tabs>
          <w:tab w:leader="none" w:pos="192"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in this Form 10-K. For more information regarding the awards disclosed in this column, see “2024 Equity-Based Compensation” below.</w:t>
      </w:r>
    </w:p>
    <w:p>
      <w:pPr>
        <w:spacing w:after="0" w:line="13"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this column represents matching contributions provided by Innventure under the 401(k) Plan (as defined and described below).</w:t>
      </w:r>
    </w:p>
    <w:p>
      <w:pPr>
        <w:spacing w:after="0" w:line="32"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Otworth provided services to Innventure in a consulting capacity during 2024 through a contract between Innventure LLC and Sugar Grove Ventures, LLC.</w:t>
      </w:r>
    </w:p>
    <w:p>
      <w:pPr>
        <w:spacing w:after="0" w:line="32" w:lineRule="exact"/>
        <w:rPr>
          <w:rFonts w:ascii="Times New Roman" w:cs="Times New Roman" w:eastAsia="Times New Roman" w:hAnsi="Times New Roman"/>
          <w:sz w:val="11"/>
          <w:szCs w:val="11"/>
          <w:color w:val="auto"/>
        </w:rPr>
      </w:pPr>
    </w:p>
    <w:p>
      <w:pPr>
        <w:ind w:left="20" w:right="1660" w:hanging="1"/>
        <w:spacing w:after="0" w:line="259" w:lineRule="auto"/>
        <w:tabs>
          <w:tab w:leader="none" w:pos="185"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Narrative Disclosure to 2024 Summary Compensation 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Key 2024 Named Executive Officer Compensation Components and Decisions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Base Salary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terms of their employment or consulting arrangements, as applicable, the NEOs were entitled to base salaries or service fees, as applicable, at the following annual rates during 2024:</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6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5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 Base Salary/Service Fee Rate</w:t>
            </w:r>
          </w:p>
        </w:tc>
      </w:tr>
      <w:tr>
        <w:trPr>
          <w:trHeight w:val="171"/>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Gregory Haskell</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$300,000</w:t>
            </w:r>
          </w:p>
        </w:tc>
      </w:tr>
      <w:tr>
        <w:trPr>
          <w:trHeight w:val="171"/>
        </w:trPr>
        <w:tc>
          <w:tcPr>
            <w:tcW w:w="56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Mike Otworth</w:t>
            </w:r>
          </w:p>
        </w:tc>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$300,000</w:t>
            </w:r>
          </w:p>
        </w:tc>
      </w:tr>
      <w:tr>
        <w:trPr>
          <w:trHeight w:val="171"/>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Dr. John Scott</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$300,000</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modify the base salary or service fee rates of any of the NEOs during 2024. However, we increased the base salary and service fee rates of the NEOs in January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Bonus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7920" w:type="dxa"/>
            <w:vAlign w:val="bottom"/>
            <w:tcBorders>
              <w:top w:val="single" w:sz="8" w:color="auto"/>
              <w:left w:val="single" w:sz="8" w:color="auto"/>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2024 Bonus Goal</w:t>
            </w:r>
          </w:p>
        </w:tc>
        <w:tc>
          <w:tcPr>
            <w:tcW w:w="1400" w:type="dxa"/>
            <w:vAlign w:val="bottom"/>
            <w:tcBorders>
              <w:top w:val="single" w:sz="8" w:color="auto"/>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Weighting</w:t>
            </w:r>
          </w:p>
        </w:tc>
        <w:tc>
          <w:tcPr>
            <w:tcW w:w="1940" w:type="dxa"/>
            <w:vAlign w:val="bottom"/>
            <w:tcBorders>
              <w:top w:val="single" w:sz="8" w:color="auto"/>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Goal Achieved?</w:t>
            </w:r>
          </w:p>
        </w:tc>
      </w:tr>
      <w:tr>
        <w:trPr>
          <w:trHeight w:val="188"/>
        </w:trPr>
        <w:tc>
          <w:tcPr>
            <w:tcW w:w="7920" w:type="dxa"/>
            <w:vAlign w:val="bottom"/>
            <w:tcBorders>
              <w:left w:val="single" w:sz="8" w:color="auto"/>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(yes or no)</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92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Formation of a new (4th) operating company</w:t>
            </w:r>
          </w:p>
        </w:tc>
        <w:tc>
          <w:tcPr>
            <w:tcW w:w="14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25%</w:t>
            </w:r>
          </w:p>
        </w:tc>
        <w:tc>
          <w:tcPr>
            <w:tcW w:w="19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Yes</w:t>
            </w:r>
          </w:p>
        </w:tc>
      </w:tr>
      <w:tr>
        <w:trPr>
          <w:trHeight w:val="171"/>
        </w:trPr>
        <w:tc>
          <w:tcPr>
            <w:tcW w:w="79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Complete the Business Combination with more than $20 million of net proceeds</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50%</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Yes</w:t>
            </w:r>
          </w:p>
        </w:tc>
      </w:tr>
      <w:tr>
        <w:trPr>
          <w:trHeight w:val="171"/>
        </w:trPr>
        <w:tc>
          <w:tcPr>
            <w:tcW w:w="792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Meeting each of the following milestones (or a achieving a certain threshold share price):</w:t>
            </w:r>
          </w:p>
        </w:tc>
        <w:tc>
          <w:tcPr>
            <w:tcW w:w="1400" w:type="dxa"/>
            <w:vAlign w:val="bottom"/>
            <w:tcBorders>
              <w:bottom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r>
      <w:tr>
        <w:trPr>
          <w:trHeight w:val="171"/>
        </w:trPr>
        <w:tc>
          <w:tcPr>
            <w:tcW w:w="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Formation of a new (4th) operating company</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Yes</w:t>
            </w:r>
          </w:p>
        </w:tc>
      </w:tr>
      <w:tr>
        <w:trPr>
          <w:trHeight w:val="171"/>
        </w:trPr>
        <w:tc>
          <w:tcPr>
            <w:tcW w:w="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$10 million of booked revenue for Accelsius</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r>
      <w:tr>
        <w:trPr>
          <w:trHeight w:val="171"/>
        </w:trPr>
        <w:tc>
          <w:tcPr>
            <w:tcW w:w="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2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$15 million of GAAP revenue for AeroFlexx</w:t>
            </w:r>
          </w:p>
        </w:tc>
        <w:tc>
          <w:tcPr>
            <w:tcW w:w="1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w:t>
            </w:r>
          </w:p>
        </w:tc>
        <w:tc>
          <w:tcPr>
            <w:tcW w:w="1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2024 bonuses were also subject to a stretch goal (formation of a new (5th) operating company), which would have resulted in an additional 50% payout.</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2025, the Compensation Committee (and the Board with respect to Mr. Haskell) determined that 85% of the 2024 bonus goals were achieved (as shown in the table above) and that the stretch goal was not achieved. As such, the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once payment is made and the applicable service requirements have lapsed.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Mr. Haskell also earned a cash bonus of $2,500,000 in connection with the successful consummation of the Business Combination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Equity-Based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December 2024, the Compensation Committee approved equity incentive awards for the NEOs consisting of service-based RSUs and stock options under the 2024 Plan. Awards for our NEOs were as follows: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82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280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80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71"/>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Gregory Haskell</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8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Mike Otworth</w:t>
            </w:r>
          </w:p>
        </w:tc>
        <w:tc>
          <w:tcPr>
            <w:tcW w:w="2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537,705</w:t>
            </w:r>
          </w:p>
        </w:tc>
        <w:tc>
          <w:tcPr>
            <w:tcW w:w="28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262,295</w:t>
            </w:r>
          </w:p>
        </w:tc>
      </w:tr>
      <w:tr>
        <w:trPr>
          <w:trHeight w:val="171"/>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Dr. John Scott</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336,066</w:t>
            </w:r>
          </w:p>
        </w:tc>
        <w:tc>
          <w:tcPr>
            <w:tcW w:w="2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163,934</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options set forth in the table above were granted with an exercise price of $12.20, the closing stock price on the date of grant.</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Holdings LLC over a base price of $12.175. In general, the Accelsius SARs will be automatically exercised upon the earliest to occur of: (i) 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32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Policies and Practices Related to the Grant of Certain Equity Awards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Compensation Committee approves equity awards granted to our named executive officers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Exercise price of the award</w:t>
            </w:r>
          </w:p>
        </w:tc>
        <w:tc>
          <w:tcPr>
            <w:tcW w:w="1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change in the closing market</w:t>
            </w:r>
          </w:p>
        </w:tc>
      </w:tr>
      <w:tr>
        <w:trPr>
          <w:trHeight w:val="138"/>
        </w:trPr>
        <w:tc>
          <w:tcPr>
            <w:tcW w:w="2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720" w:type="dxa"/>
            <w:vAlign w:val="bottom"/>
            <w:shd w:val="clear" w:color="auto" w:fill="CCEEFF"/>
          </w:tcPr>
          <w:p>
            <w:pPr>
              <w:ind w:left="200"/>
              <w:spacing w:after="0" w:line="138" w:lineRule="exact"/>
              <w:rPr>
                <w:sz w:val="20"/>
                <w:szCs w:val="20"/>
                <w:color w:val="auto"/>
              </w:rPr>
            </w:pPr>
            <w:r>
              <w:rPr>
                <w:rFonts w:ascii="Times New Roman" w:cs="Times New Roman" w:eastAsia="Times New Roman" w:hAnsi="Times New Roman"/>
                <w:sz w:val="14"/>
                <w:szCs w:val="14"/>
                <w:b w:val="1"/>
                <w:bCs w:val="1"/>
                <w:color w:val="auto"/>
              </w:rPr>
              <w:t>underlying the award</w:t>
            </w:r>
          </w:p>
        </w:tc>
        <w:tc>
          <w:tcPr>
            <w:tcW w:w="202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b w:val="1"/>
                <w:bCs w:val="1"/>
                <w:color w:val="auto"/>
              </w:rPr>
              <w:t>($/Sh)</w:t>
            </w:r>
          </w:p>
        </w:tc>
        <w:tc>
          <w:tcPr>
            <w:tcW w:w="116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27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b w:val="1"/>
                <w:bCs w:val="1"/>
                <w:color w:val="auto"/>
              </w:rPr>
              <w:t>price of the securities underlying the</w:t>
            </w:r>
          </w:p>
        </w:tc>
      </w:tr>
      <w:tr>
        <w:trPr>
          <w:trHeight w:val="142"/>
        </w:trPr>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award</w:t>
            </w:r>
          </w:p>
        </w:tc>
        <w:tc>
          <w:tcPr>
            <w:tcW w:w="270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award between the trading day ending</w:t>
            </w:r>
          </w:p>
        </w:tc>
      </w:tr>
      <w:tr>
        <w:trPr>
          <w:trHeight w:val="144"/>
        </w:trPr>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immediately prior to the disclosure of</w:t>
            </w:r>
          </w:p>
        </w:tc>
      </w:tr>
      <w:tr>
        <w:trPr>
          <w:trHeight w:val="138"/>
        </w:trPr>
        <w:tc>
          <w:tcPr>
            <w:tcW w:w="2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7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b w:val="1"/>
                <w:bCs w:val="1"/>
                <w:color w:val="auto"/>
              </w:rPr>
              <w:t>material nonpublic information and the</w:t>
            </w:r>
          </w:p>
        </w:tc>
      </w:tr>
      <w:tr>
        <w:trPr>
          <w:trHeight w:val="142"/>
        </w:trPr>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0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trading day beginning immediately</w:t>
            </w:r>
          </w:p>
        </w:tc>
      </w:tr>
      <w:tr>
        <w:trPr>
          <w:trHeight w:val="144"/>
        </w:trPr>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7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following the disclosure of material</w:t>
            </w:r>
          </w:p>
        </w:tc>
      </w:tr>
      <w:tr>
        <w:trPr>
          <w:trHeight w:val="188"/>
        </w:trPr>
        <w:tc>
          <w:tcPr>
            <w:tcW w:w="24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nonpublic information</w:t>
            </w:r>
          </w:p>
        </w:tc>
      </w:tr>
      <w:tr>
        <w:trPr>
          <w:trHeight w:val="173"/>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Gregory Haskell, CEO</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Mike Otworth, Executive Chairman</w:t>
            </w:r>
          </w:p>
        </w:tc>
        <w:tc>
          <w:tcPr>
            <w:tcW w:w="12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12/9/2024</w:t>
            </w:r>
          </w:p>
        </w:tc>
        <w:tc>
          <w:tcPr>
            <w:tcW w:w="17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262,295</w:t>
            </w:r>
          </w:p>
        </w:tc>
        <w:tc>
          <w:tcPr>
            <w:tcW w:w="2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12.20</w:t>
            </w:r>
          </w:p>
        </w:tc>
        <w:tc>
          <w:tcPr>
            <w:tcW w:w="11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$1,712,786</w:t>
            </w:r>
          </w:p>
        </w:tc>
        <w:tc>
          <w:tcPr>
            <w:tcW w:w="2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(0.88)%</w:t>
            </w:r>
          </w:p>
        </w:tc>
      </w:tr>
      <w:tr>
        <w:trPr>
          <w:trHeight w:val="171"/>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Dr. John Scott, Chief Strategy Officer</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12/9/2024</w:t>
            </w:r>
          </w:p>
        </w:tc>
        <w:tc>
          <w:tcPr>
            <w:tcW w:w="17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163,934</w:t>
            </w:r>
          </w:p>
        </w:tc>
        <w:tc>
          <w:tcPr>
            <w:tcW w:w="2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12.20</w:t>
            </w: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$1,070,489</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(0.88)%</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Incentive Units Granted in Prior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Innventure LLC</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prior years, Innventure LLC granted Class C Units of Innventure LLC (“Innventure Incentive Units”) to certain service providers, including Mr. Haskell, pursuant to the Fourth Amended and Restated Limited Liability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Company Agreement of Innventure LLC, as subsequently amended or amended and restated from time to time (the “Innventure LLC Agreement”).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 LLC did not grant Innventure Incentive Units to any of the NEOs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Accelsius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Employment and Consulting Arrangements with our NEOs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Gregory W. (Bill) Haskell</w:t>
      </w:r>
      <w:r>
        <w:rPr>
          <w:rFonts w:ascii="Times New Roman" w:cs="Times New Roman" w:eastAsia="Times New Roman" w:hAnsi="Times New Roman"/>
          <w:sz w:val="14"/>
          <w:szCs w:val="14"/>
          <w:color w:val="auto"/>
        </w:rPr>
        <w:t>: Innventure LLC is party to an offer letter, dated January 5, 2021, with Mr. Haskell (the “Haskell Letter”). The Haskell Letter provides for, among other things, an initial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base salary rate of $200,000 per year, and an opportunity for Mr. Haskell to receive certain equity awards from Innventure LLC and new companies affiliated with Innventure LLC. Mr. Haskell’s base salary in 2024 was $300,000 per year. In January 2025, Mr. Haskell’s base salary was increased again to $700,000 per year.</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Mike Otworth</w:t>
      </w:r>
      <w:r>
        <w:rPr>
          <w:rFonts w:ascii="Times New Roman" w:cs="Times New Roman" w:eastAsia="Times New Roman" w:hAnsi="Times New Roman"/>
          <w:sz w:val="14"/>
          <w:szCs w:val="14"/>
          <w:color w:val="auto"/>
        </w:rPr>
        <w:t>: Innventure LLC is party to a Contractor Agreement for Services, effective November 16, 2023, with Sugar Grove Ventures, LLC, an independent contractor (the “Otworth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Dr. John Scott</w:t>
      </w:r>
      <w:r>
        <w:rPr>
          <w:rFonts w:ascii="Times New Roman" w:cs="Times New Roman" w:eastAsia="Times New Roman" w:hAnsi="Times New Roman"/>
          <w:sz w:val="14"/>
          <w:szCs w:val="14"/>
          <w:color w:val="auto"/>
        </w:rPr>
        <w:t>: Innventure LLC is party to a Statement of Work, effective April 1, 2018, with Corporate Development Group LLC, an independent contractor (as amended, the “Scott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2024 Fiscal Year-End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and related footnotes set forth information about the outstanding equity awards held by the NEOs as of December 31, 2024.</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Name</w:t>
            </w:r>
          </w:p>
        </w:tc>
        <w:tc>
          <w:tcPr>
            <w:tcW w:w="2540" w:type="dxa"/>
            <w:vAlign w:val="bottom"/>
          </w:tcPr>
          <w:p>
            <w:pPr>
              <w:ind w:left="1020"/>
              <w:spacing w:after="0" w:line="108" w:lineRule="exact"/>
              <w:rPr>
                <w:sz w:val="20"/>
                <w:szCs w:val="20"/>
                <w:color w:val="auto"/>
              </w:rPr>
            </w:pPr>
            <w:r>
              <w:rPr>
                <w:rFonts w:ascii="Times New Roman" w:cs="Times New Roman" w:eastAsia="Times New Roman" w:hAnsi="Times New Roman"/>
                <w:sz w:val="11"/>
                <w:szCs w:val="11"/>
                <w:b w:val="1"/>
                <w:bCs w:val="1"/>
                <w:color w:val="auto"/>
              </w:rPr>
              <w:t>Type of Award(1)</w:t>
            </w:r>
          </w:p>
        </w:tc>
        <w:tc>
          <w:tcPr>
            <w:tcW w:w="6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62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Number</w:t>
            </w:r>
          </w:p>
        </w:tc>
        <w:tc>
          <w:tcPr>
            <w:tcW w:w="82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of   Securities</w:t>
            </w:r>
          </w:p>
        </w:tc>
        <w:tc>
          <w:tcPr>
            <w:tcW w:w="96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Option  Exercise</w:t>
            </w:r>
          </w:p>
        </w:tc>
        <w:tc>
          <w:tcPr>
            <w:tcW w:w="48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Option</w:t>
            </w:r>
          </w:p>
        </w:tc>
        <w:tc>
          <w:tcPr>
            <w:tcW w:w="62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100" w:type="dxa"/>
            <w:vAlign w:val="bottom"/>
          </w:tcPr>
          <w:p>
            <w:pPr>
              <w:spacing w:after="0"/>
              <w:rPr>
                <w:sz w:val="9"/>
                <w:szCs w:val="9"/>
                <w:color w:val="auto"/>
              </w:rPr>
            </w:pPr>
          </w:p>
        </w:tc>
        <w:tc>
          <w:tcPr>
            <w:tcW w:w="46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Number</w:t>
            </w:r>
          </w:p>
        </w:tc>
        <w:tc>
          <w:tcPr>
            <w:tcW w:w="740" w:type="dxa"/>
            <w:vAlign w:val="bottom"/>
          </w:tcPr>
          <w:p>
            <w:pPr>
              <w:jc w:val="right"/>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of Shares or</w:t>
            </w:r>
          </w:p>
        </w:tc>
        <w:tc>
          <w:tcPr>
            <w:tcW w:w="142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Market Value of Shares or</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6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82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96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Price ($)</w:t>
            </w:r>
          </w:p>
        </w:tc>
        <w:tc>
          <w:tcPr>
            <w:tcW w:w="48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Date</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74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42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Units of Stock That Have</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560" w:type="dxa"/>
            <w:vAlign w:val="bottom"/>
            <w:vMerge w:val="continue"/>
          </w:tcPr>
          <w:p>
            <w:pPr>
              <w:spacing w:after="0"/>
              <w:rPr>
                <w:sz w:val="10"/>
                <w:szCs w:val="10"/>
                <w:color w:val="auto"/>
              </w:rPr>
            </w:pP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Options (#) Unexercisable</w:t>
            </w: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Have Not Vested (#)</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Not Vested ($)</w:t>
            </w:r>
          </w:p>
        </w:tc>
        <w:tc>
          <w:tcPr>
            <w:tcW w:w="0" w:type="dxa"/>
            <w:vAlign w:val="bottom"/>
          </w:tcPr>
          <w:p>
            <w:pPr>
              <w:spacing w:after="0"/>
              <w:rPr>
                <w:sz w:val="1"/>
                <w:szCs w:val="1"/>
                <w:color w:val="auto"/>
              </w:rPr>
            </w:pPr>
          </w:p>
        </w:tc>
      </w:tr>
    </w:tbl>
    <w:p>
      <w:pPr>
        <w:ind w:left="3880"/>
        <w:spacing w:after="0"/>
        <w:rPr>
          <w:sz w:val="20"/>
          <w:szCs w:val="20"/>
          <w:color w:val="auto"/>
        </w:rPr>
      </w:pPr>
      <w:r>
        <w:rPr>
          <w:rFonts w:ascii="Times New Roman" w:cs="Times New Roman" w:eastAsia="Times New Roman" w:hAnsi="Times New Roman"/>
          <w:sz w:val="11"/>
          <w:szCs w:val="11"/>
          <w:b w:val="1"/>
          <w:bCs w:val="1"/>
          <w:color w:val="auto"/>
        </w:rPr>
        <w: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6153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Gregory W. (Bill) Haskell</w:t>
            </w:r>
          </w:p>
        </w:tc>
        <w:tc>
          <w:tcPr>
            <w:tcW w:w="80" w:type="dxa"/>
            <w:vAlign w:val="bottom"/>
            <w:tcBorders>
              <w:top w:val="single" w:sz="8" w:color="CCECFF"/>
            </w:tcBorders>
            <w:shd w:val="clear" w:color="auto" w:fill="CCECFF"/>
          </w:tcPr>
          <w:p>
            <w:pPr>
              <w:spacing w:after="0"/>
              <w:rPr>
                <w:sz w:val="14"/>
                <w:szCs w:val="14"/>
                <w:color w:val="auto"/>
              </w:rPr>
            </w:pPr>
          </w:p>
        </w:tc>
        <w:tc>
          <w:tcPr>
            <w:tcW w:w="14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Refinity Units</w:t>
            </w:r>
          </w:p>
        </w:tc>
        <w:tc>
          <w:tcPr>
            <w:tcW w:w="80" w:type="dxa"/>
            <w:vAlign w:val="bottom"/>
            <w:tcBorders>
              <w:top w:val="single" w:sz="8" w:color="CCECFF"/>
            </w:tcBorders>
            <w:shd w:val="clear" w:color="auto" w:fill="CCECFF"/>
          </w:tcPr>
          <w:p>
            <w:pPr>
              <w:spacing w:after="0"/>
              <w:rPr>
                <w:sz w:val="14"/>
                <w:szCs w:val="14"/>
                <w:color w:val="auto"/>
              </w:rPr>
            </w:pPr>
          </w:p>
        </w:tc>
        <w:tc>
          <w:tcPr>
            <w:tcW w:w="1140" w:type="dxa"/>
            <w:vAlign w:val="bottom"/>
            <w:tcBorders>
              <w:top w:val="single" w:sz="8" w:color="auto"/>
            </w:tcBorders>
            <w:shd w:val="clear" w:color="auto" w:fill="CCECFF"/>
          </w:tcPr>
          <w:p>
            <w:pPr>
              <w:ind w:left="102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Borders>
              <w:top w:val="single" w:sz="8" w:color="CCECFF"/>
            </w:tcBorders>
            <w:shd w:val="clear" w:color="auto" w:fill="CCECFF"/>
          </w:tcPr>
          <w:p>
            <w:pPr>
              <w:spacing w:after="0"/>
              <w:rPr>
                <w:sz w:val="14"/>
                <w:szCs w:val="14"/>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CFF"/>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CFF"/>
            </w:tcBorders>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CFF"/>
            </w:tcBorders>
            <w:shd w:val="clear" w:color="auto" w:fill="CCECFF"/>
          </w:tcPr>
          <w:p>
            <w:pPr>
              <w:spacing w:after="0"/>
              <w:rPr>
                <w:sz w:val="14"/>
                <w:szCs w:val="14"/>
                <w:color w:val="auto"/>
              </w:rPr>
            </w:pP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109,000(4)</w:t>
            </w:r>
          </w:p>
        </w:tc>
        <w:tc>
          <w:tcPr>
            <w:tcW w:w="100" w:type="dxa"/>
            <w:vAlign w:val="bottom"/>
            <w:tcBorders>
              <w:top w:val="single" w:sz="8" w:color="CCECFF"/>
            </w:tcBorders>
            <w:shd w:val="clear" w:color="auto" w:fill="CCECFF"/>
          </w:tcPr>
          <w:p>
            <w:pPr>
              <w:spacing w:after="0"/>
              <w:rPr>
                <w:sz w:val="14"/>
                <w:szCs w:val="14"/>
                <w:color w:val="auto"/>
              </w:rPr>
            </w:pP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9"/>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Mike Otworth</w:t>
            </w:r>
          </w:p>
        </w:tc>
        <w:tc>
          <w:tcPr>
            <w:tcW w:w="80" w:type="dxa"/>
            <w:vAlign w:val="bottom"/>
          </w:tcPr>
          <w:p>
            <w:pPr>
              <w:spacing w:after="0"/>
              <w:rPr>
                <w:sz w:val="12"/>
                <w:szCs w:val="12"/>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 Options</w:t>
            </w:r>
          </w:p>
        </w:tc>
        <w:tc>
          <w:tcPr>
            <w:tcW w:w="80" w:type="dxa"/>
            <w:vAlign w:val="bottom"/>
          </w:tcPr>
          <w:p>
            <w:pPr>
              <w:spacing w:after="0"/>
              <w:rPr>
                <w:sz w:val="12"/>
                <w:szCs w:val="12"/>
                <w:color w:val="auto"/>
              </w:rPr>
            </w:pP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262,295(2)</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12/9/2034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0"/>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Refinity Units</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109,000(4)</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59"/>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Accelsius SARs</w:t>
            </w:r>
          </w:p>
        </w:tc>
        <w:tc>
          <w:tcPr>
            <w:tcW w:w="80" w:type="dxa"/>
            <w:vAlign w:val="bottom"/>
          </w:tcPr>
          <w:p>
            <w:pPr>
              <w:spacing w:after="0"/>
              <w:rPr>
                <w:sz w:val="13"/>
                <w:szCs w:val="13"/>
                <w:color w:val="auto"/>
              </w:rPr>
            </w:pPr>
          </w:p>
        </w:tc>
        <w:tc>
          <w:tcPr>
            <w:tcW w:w="122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150,000(3)</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12.175</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9"/>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 RSUs</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537,705(5)</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7,447,214</w:t>
            </w:r>
          </w:p>
        </w:tc>
      </w:tr>
      <w:tr>
        <w:trPr>
          <w:trHeight w:val="169"/>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Accelsius Units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75,000(6)</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3,147,750(7)</w:t>
            </w:r>
          </w:p>
        </w:tc>
      </w:tr>
      <w:tr>
        <w:trPr>
          <w:trHeight w:val="158"/>
        </w:trPr>
        <w:tc>
          <w:tcPr>
            <w:tcW w:w="2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Dr. John Scott</w:t>
            </w:r>
          </w:p>
        </w:tc>
        <w:tc>
          <w:tcPr>
            <w:tcW w:w="80" w:type="dxa"/>
            <w:vAlign w:val="bottom"/>
            <w:shd w:val="clear" w:color="auto" w:fill="CCECFF"/>
          </w:tcPr>
          <w:p>
            <w:pPr>
              <w:spacing w:after="0"/>
              <w:rPr>
                <w:sz w:val="13"/>
                <w:szCs w:val="13"/>
                <w:color w:val="auto"/>
              </w:rPr>
            </w:pPr>
          </w:p>
        </w:tc>
        <w:tc>
          <w:tcPr>
            <w:tcW w:w="1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 Options</w:t>
            </w:r>
          </w:p>
        </w:tc>
        <w:tc>
          <w:tcPr>
            <w:tcW w:w="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163,934(2)</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12.20</w:t>
            </w: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12/9/2034</w:t>
            </w:r>
          </w:p>
        </w:tc>
        <w:tc>
          <w:tcPr>
            <w:tcW w:w="10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r>
      <w:tr>
        <w:trPr>
          <w:trHeight w:val="150"/>
        </w:trPr>
        <w:tc>
          <w:tcPr>
            <w:tcW w:w="2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Refinity Units</w:t>
            </w:r>
          </w:p>
        </w:tc>
        <w:tc>
          <w:tcPr>
            <w:tcW w:w="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109,000(4)</w:t>
            </w:r>
          </w:p>
        </w:tc>
        <w:tc>
          <w:tcPr>
            <w:tcW w:w="10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59"/>
        </w:trPr>
        <w:tc>
          <w:tcPr>
            <w:tcW w:w="2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Accelsius SARs</w:t>
            </w:r>
          </w:p>
        </w:tc>
        <w:tc>
          <w:tcPr>
            <w:tcW w:w="80" w:type="dxa"/>
            <w:vAlign w:val="bottom"/>
            <w:shd w:val="clear" w:color="auto" w:fill="CCECFF"/>
          </w:tcPr>
          <w:p>
            <w:pPr>
              <w:spacing w:after="0"/>
              <w:rPr>
                <w:sz w:val="13"/>
                <w:szCs w:val="13"/>
                <w:color w:val="auto"/>
              </w:rPr>
            </w:pPr>
          </w:p>
        </w:tc>
        <w:tc>
          <w:tcPr>
            <w:tcW w:w="1220" w:type="dxa"/>
            <w:vAlign w:val="bottom"/>
            <w:gridSpan w:val="2"/>
            <w:shd w:val="clear" w:color="auto" w:fill="CCEC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150,000(3)</w:t>
            </w: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12.175</w:t>
            </w: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12/31/2026</w:t>
            </w:r>
          </w:p>
        </w:tc>
        <w:tc>
          <w:tcPr>
            <w:tcW w:w="10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r>
      <w:tr>
        <w:trPr>
          <w:trHeight w:val="159"/>
        </w:trPr>
        <w:tc>
          <w:tcPr>
            <w:tcW w:w="2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 RSUs</w:t>
            </w:r>
          </w:p>
        </w:tc>
        <w:tc>
          <w:tcPr>
            <w:tcW w:w="8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3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336,066(5)</w:t>
            </w:r>
          </w:p>
        </w:tc>
        <w:tc>
          <w:tcPr>
            <w:tcW w:w="100" w:type="dxa"/>
            <w:vAlign w:val="bottom"/>
            <w:shd w:val="clear" w:color="auto" w:fill="CCECFF"/>
          </w:tcPr>
          <w:p>
            <w:pPr>
              <w:spacing w:after="0"/>
              <w:rPr>
                <w:sz w:val="13"/>
                <w:szCs w:val="13"/>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4,654,514</w:t>
            </w:r>
          </w:p>
        </w:tc>
      </w:tr>
      <w:tr>
        <w:trPr>
          <w:trHeight w:val="178"/>
        </w:trPr>
        <w:tc>
          <w:tcPr>
            <w:tcW w:w="22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Accelsius Units</w:t>
            </w:r>
          </w:p>
        </w:tc>
        <w:tc>
          <w:tcPr>
            <w:tcW w:w="8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9,375(8)</w:t>
            </w:r>
          </w:p>
        </w:tc>
        <w:tc>
          <w:tcPr>
            <w:tcW w:w="10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434,813(7)</w:t>
            </w:r>
          </w:p>
        </w:tc>
      </w:tr>
      <w:tr>
        <w:trPr>
          <w:trHeight w:val="122"/>
        </w:trPr>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_______________</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jc w:val="both"/>
        <w:ind w:left="2260" w:right="20" w:firstLine="8"/>
        <w:spacing w:after="0" w:line="226" w:lineRule="auto"/>
        <w:tabs>
          <w:tab w:leader="none" w:pos="2428"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spacing w:after="0" w:line="12" w:lineRule="exact"/>
        <w:rPr>
          <w:rFonts w:ascii="Times New Roman" w:cs="Times New Roman" w:eastAsia="Times New Roman" w:hAnsi="Times New Roman"/>
          <w:sz w:val="11"/>
          <w:szCs w:val="11"/>
          <w:color w:val="auto"/>
        </w:rPr>
      </w:pPr>
    </w:p>
    <w:p>
      <w:pPr>
        <w:ind w:left="2260" w:right="20" w:firstLine="8"/>
        <w:spacing w:after="0" w:line="251" w:lineRule="auto"/>
        <w:tabs>
          <w:tab w:leader="none" w:pos="243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2260" w:right="20" w:firstLine="8"/>
        <w:spacing w:after="0" w:line="251" w:lineRule="auto"/>
        <w:tabs>
          <w:tab w:leader="none" w:pos="2425"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ind w:left="2260" w:right="20" w:firstLine="8"/>
        <w:spacing w:after="0" w:line="251" w:lineRule="auto"/>
        <w:tabs>
          <w:tab w:leader="none" w:pos="2423"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ind w:left="2260" w:right="20" w:firstLine="8"/>
        <w:spacing w:after="0" w:line="251" w:lineRule="auto"/>
        <w:tabs>
          <w:tab w:leader="none" w:pos="2424"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jc w:val="both"/>
        <w:ind w:left="2260" w:right="20" w:firstLine="8"/>
        <w:spacing w:after="0" w:line="233" w:lineRule="auto"/>
        <w:tabs>
          <w:tab w:leader="none" w:pos="2423"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March 22, 2024, Accelsius granted to Mr. Otworth 100,000 Accelsius Incentive Units, with an Accelsius Distribution Threshold of $4.41.In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60" w:right="20" w:firstLine="8"/>
        <w:spacing w:after="0" w:line="251" w:lineRule="auto"/>
        <w:tabs>
          <w:tab w:leader="none" w:pos="2424"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jc w:val="both"/>
        <w:ind w:left="2260" w:right="20" w:firstLine="8"/>
        <w:spacing w:after="0" w:line="233" w:lineRule="auto"/>
        <w:tabs>
          <w:tab w:leader="none" w:pos="2427"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Narrative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Tax Qualified Retirement Plan</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 did not offer a defined benefit pension plan or nonqualified deferred compensation plan for its NEOs during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Severance and Change in Control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Severance Under NEO Arrangements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the agreements or offer letters with the NEOs provide for severance compensation in the event of a termination of employment.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Innventure Equity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general, RSUs, stock options and Accelsius SARs granted under the 2024 Plan are eligible to vest or are automatically exercised as follows in the event of certain termination and change in control scenarios.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RSUs. </w:t>
      </w:r>
      <w:r>
        <w:rPr>
          <w:rFonts w:ascii="Times New Roman" w:cs="Times New Roman" w:eastAsia="Times New Roman" w:hAnsi="Times New Roman"/>
          <w:sz w:val="14"/>
          <w:szCs w:val="14"/>
          <w:color w:val="auto"/>
        </w:rPr>
        <w:t>If an NEO’s employment is terminated due to death or disability, the RSUs will vest in full. If an NEO remains employed through the date of a “change in control” (as defined for purposes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If an NEO’s employment is terminated due to death or disability, the unvested portion of the option will vest in full upon termination. If an NEO remains employed through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Accelsius SARs. </w:t>
      </w:r>
      <w:r>
        <w:rPr>
          <w:rFonts w:ascii="Times New Roman" w:cs="Times New Roman" w:eastAsia="Times New Roman" w:hAnsi="Times New Roman"/>
          <w:sz w:val="14"/>
          <w:szCs w:val="14"/>
          <w:color w:val="auto"/>
        </w:rPr>
        <w:t>The Accelsius SARs granted in December 2024 were fully vested upon grant and will be automatically exercised upon the earliest to occur of: (i) the 24-month anniversary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of Grant, (ii) the participant’s death, or (iii) the participant’s Disability.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Treatment of Incentive Units Upon a Termination of Employment or Engagement</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described above, Innventure Incentive Units held by the NEOs vested (to the extent unvested) at the time of the Business Combination and were cancelled in exchange for shares of Common Stock.</w:t>
      </w:r>
    </w:p>
    <w:p>
      <w:pPr>
        <w:spacing w:after="0" w:line="3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With respect to Refinity Incentive Units, if an NEO’s employment or service is terminated, then Refinity Holdings, LLC may redeem such NEO’s vested Refinity Incentive Units for their fair market value (as defined in the applicable award agreements pursuant to which Refinity Incentive Units are granted), except that if the termination is by Refinity Holdings, LLC for cause (as defined in the Refinity Holdings, LLC PI Unit Incentive Plan), such vested and unvested Refinity Incentive Units may be redeemed by Refinity Holdings, LLC for $0.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Treatment of Accelsius Incentive Units and Refinity Incentive Units upon a Change in Control</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With respect to Accelsius Incentive Units and Refinity Incentive Units if Accelsius or Refinity Holdings, LLC,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Bill Haskell, David Yablunosky, Mike Otworth, Suzanne Niemeyer, James Donnally, Bruce Brown, Elizabeth Williams, Daniel Hennessy, and Michael Amalfitano served on the Innventure board of directors during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Non-Management Director Compensation Policy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2024, our board of directors adopted the Innventure, Inc. Non-Management Director Compensation Plan (the “Director Compensation Plan”). The Director Compensation Plan is intended to allow us to attract and retain qualified individuals to serve on our board of directors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55" w:lineRule="exact"/>
        <w:rPr>
          <w:sz w:val="20"/>
          <w:szCs w:val="20"/>
          <w:color w:val="auto"/>
        </w:rPr>
      </w:pPr>
    </w:p>
    <w:p>
      <w:pPr>
        <w:jc w:val="both"/>
        <w:ind w:left="520" w:hanging="260"/>
        <w:spacing w:after="0" w:line="244"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Initial Equity Grant</w:t>
      </w:r>
      <w:r>
        <w:rPr>
          <w:rFonts w:ascii="Times New Roman" w:cs="Times New Roman" w:eastAsia="Times New Roman" w:hAnsi="Times New Roman"/>
          <w:sz w:val="14"/>
          <w:szCs w:val="14"/>
          <w:color w:val="auto"/>
        </w:rPr>
        <w:t>: Each non-management director that became a member of our board as of October 2, 2024 (the Closing Date) and who was still serving on our board on the third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day following the effective date of the Director Compensation Plan received RSUs with a targeted value of $90,000 on such date, in respect of their service from the Closing and the date of the Company’s first annual meeting of stockholders. Such RSUs will generally vest on the date of this year’s Annual Meeting, subject to each non-management director providing service on our board through such date.</w:t>
      </w:r>
    </w:p>
    <w:p>
      <w:pPr>
        <w:spacing w:after="0" w:line="162"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Quarterly cash retainer</w:t>
      </w:r>
      <w:r>
        <w:rPr>
          <w:rFonts w:ascii="Times New Roman" w:cs="Times New Roman" w:eastAsia="Times New Roman" w:hAnsi="Times New Roman"/>
          <w:sz w:val="14"/>
          <w:szCs w:val="14"/>
          <w:color w:val="auto"/>
        </w:rPr>
        <w:t>: Each non-management director will receive an annual cash retainer fee of $80,000, paid in arrears on a quarterly basis. The annual cash retainer fee will be prorated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event that a non-management director serves on our board for a portion of any calendar quarter.</w:t>
      </w:r>
    </w:p>
    <w:p>
      <w:pPr>
        <w:spacing w:after="0" w:line="141" w:lineRule="exact"/>
        <w:rPr>
          <w:rFonts w:ascii="Times New Roman" w:cs="Times New Roman" w:eastAsia="Times New Roman" w:hAnsi="Times New Roman"/>
          <w:sz w:val="14"/>
          <w:szCs w:val="14"/>
          <w:color w:val="auto"/>
        </w:rPr>
      </w:pPr>
    </w:p>
    <w:p>
      <w:pPr>
        <w:jc w:val="both"/>
        <w:ind w:left="520" w:hanging="260"/>
        <w:spacing w:after="0" w:line="246"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Annual equity retainer</w:t>
      </w:r>
      <w:r>
        <w:rPr>
          <w:rFonts w:ascii="Times New Roman" w:cs="Times New Roman" w:eastAsia="Times New Roman" w:hAnsi="Times New Roman"/>
          <w:sz w:val="14"/>
          <w:szCs w:val="14"/>
          <w:color w:val="auto"/>
        </w:rPr>
        <w:t>: On the date of each of our regularly scheduled annual meetings of stockholders, each non-management director will receive a grant of RSUs with a targeted value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61"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Committee retainers</w:t>
      </w:r>
      <w:r>
        <w:rPr>
          <w:rFonts w:ascii="Times New Roman" w:cs="Times New Roman" w:eastAsia="Times New Roman" w:hAnsi="Times New Roman"/>
          <w:sz w:val="14"/>
          <w:szCs w:val="14"/>
          <w:color w:val="auto"/>
        </w:rPr>
        <w:t>: Each non-management director who serves as the chairperson of a standing committee of our board will receive an annual cash retainer fee of $20,000, paid in arrears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 quarterly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4"/>
          <w:szCs w:val="14"/>
          <w:color w:val="auto"/>
        </w:rPr>
        <w:t>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 arrears on a quarterly basis and prorated in the event that such non-management director serves in such position for a portion of any calendar quarter.</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Director Compensation</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34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 cash ($)</w:t>
            </w:r>
          </w:p>
        </w:tc>
        <w:tc>
          <w:tcPr>
            <w:tcW w:w="222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awards ($)(1)</w:t>
            </w:r>
          </w:p>
        </w:tc>
        <w:tc>
          <w:tcPr>
            <w:tcW w:w="2220" w:type="dxa"/>
            <w:vAlign w:val="bottom"/>
            <w:tcBorders>
              <w:top w:val="single" w:sz="8" w:color="auto"/>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 ($)(2)</w:t>
            </w:r>
          </w:p>
        </w:tc>
        <w:tc>
          <w:tcPr>
            <w:tcW w:w="224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w:t>
            </w:r>
          </w:p>
        </w:tc>
      </w:tr>
      <w:tr>
        <w:trPr>
          <w:trHeight w:val="171"/>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James Donnally</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89,999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782,000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899,499</w:t>
            </w:r>
          </w:p>
        </w:tc>
      </w:tr>
      <w:tr>
        <w:trPr>
          <w:trHeight w:val="171"/>
        </w:trPr>
        <w:tc>
          <w:tcPr>
            <w:tcW w:w="2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Bruce Brown</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27,500</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89,999</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117,499</w:t>
            </w:r>
          </w:p>
        </w:tc>
      </w:tr>
      <w:tr>
        <w:trPr>
          <w:trHeight w:val="171"/>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Elizabeth Williams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89,999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114,999</w:t>
            </w:r>
          </w:p>
        </w:tc>
      </w:tr>
      <w:tr>
        <w:trPr>
          <w:trHeight w:val="171"/>
        </w:trPr>
        <w:tc>
          <w:tcPr>
            <w:tcW w:w="23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Daniel Hennessy</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89,999</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114,999</w:t>
            </w:r>
          </w:p>
        </w:tc>
      </w:tr>
      <w:tr>
        <w:trPr>
          <w:trHeight w:val="171"/>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Michael Amalfitano</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89,999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114,999</w:t>
            </w:r>
          </w:p>
        </w:tc>
      </w:tr>
    </w:tbl>
    <w:p>
      <w:pPr>
        <w:spacing w:after="0" w:line="57" w:lineRule="exact"/>
        <w:rPr>
          <w:sz w:val="20"/>
          <w:szCs w:val="20"/>
          <w:color w:val="auto"/>
        </w:rPr>
      </w:pPr>
    </w:p>
    <w:p>
      <w:pPr>
        <w:ind w:left="520" w:hanging="260"/>
        <w:spacing w:after="0" w:line="252" w:lineRule="auto"/>
        <w:tabs>
          <w:tab w:leader="none" w:pos="514"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grant date fair value of the RSU awards, calculated in accordance with FASB ASC Topic 718. For information regarding assumptions used in calculating these values, see Note 14 to the consolidated financial statements included in this Form 10-K. As of December 31, 2024, the non-management directors held the following outstanding stock awards: each of Messrs. Donnally, Brown, Hennessy and Amalfitano and Ms. Williams, 7,377 RSUs.</w:t>
      </w:r>
    </w:p>
    <w:p>
      <w:pPr>
        <w:spacing w:after="0" w:line="1" w:lineRule="exact"/>
        <w:rPr>
          <w:rFonts w:ascii="Times New Roman" w:cs="Times New Roman" w:eastAsia="Times New Roman" w:hAnsi="Times New Roman"/>
          <w:sz w:val="11"/>
          <w:szCs w:val="11"/>
          <w:color w:val="auto"/>
        </w:rPr>
      </w:pPr>
    </w:p>
    <w:p>
      <w:pPr>
        <w:jc w:val="both"/>
        <w:ind w:left="520" w:hanging="260"/>
        <w:spacing w:after="0" w:line="245" w:lineRule="auto"/>
        <w:tabs>
          <w:tab w:leader="none" w:pos="514"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grant date fair value of the Accelsius SARs, calculated in accordance with FASB ASC Topic 718. For information regarding assumptions used in calculating these values, see Note 14 to the consolidated financial statements included in this Form 10-K.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known to us regarding the beneficial ownership of our Common Stock as of April 8, 2025 (except as otherwise set forth below) by:</w:t>
      </w:r>
    </w:p>
    <w:p>
      <w:pPr>
        <w:spacing w:after="0" w:line="189"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us to be the beneficial owner of more than 5% of our Common Stock;</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directors; and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purpose of computing the percentage ownership of any other person shown in the table. Fractional shares have been rounded to the nearest whole share.</w:t>
      </w:r>
    </w:p>
    <w:p>
      <w:pPr>
        <w:spacing w:after="0" w:line="18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The following table is based on 47,106,300 shares of Common Stock outstanding as of April 8,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3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 and Nature of Beneficial</w:t>
            </w:r>
          </w:p>
        </w:tc>
        <w:tc>
          <w:tcPr>
            <w:tcW w:w="26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Percentage of Outstanding Shares</w:t>
            </w:r>
          </w:p>
        </w:tc>
      </w:tr>
      <w:tr>
        <w:trPr>
          <w:trHeight w:val="186"/>
        </w:trPr>
        <w:tc>
          <w:tcPr>
            <w:tcW w:w="45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620" w:type="dxa"/>
            <w:vAlign w:val="bottom"/>
            <w:tcBorders>
              <w:bottom w:val="single" w:sz="8" w:color="auto"/>
            </w:tcBorders>
          </w:tcPr>
          <w:p>
            <w:pPr>
              <w:spacing w:after="0"/>
              <w:rPr>
                <w:sz w:val="16"/>
                <w:szCs w:val="16"/>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Directors and Named Executive Officers:</w:t>
            </w:r>
          </w:p>
        </w:tc>
        <w:tc>
          <w:tcPr>
            <w:tcW w:w="334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Roland Austrup.........................................................</w:t>
            </w:r>
          </w:p>
        </w:tc>
        <w:tc>
          <w:tcPr>
            <w:tcW w:w="3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812,482</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1.72 %</w:t>
            </w:r>
          </w:p>
        </w:tc>
      </w:tr>
      <w:tr>
        <w:trPr>
          <w:trHeight w:val="180"/>
        </w:trPr>
        <w:tc>
          <w:tcPr>
            <w:tcW w:w="4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James O. Donnally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3,958,520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8.40 %</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Gregory W. Haskell..................................................</w:t>
            </w:r>
          </w:p>
        </w:tc>
        <w:tc>
          <w:tcPr>
            <w:tcW w:w="3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705,655</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180"/>
        </w:trPr>
        <w:tc>
          <w:tcPr>
            <w:tcW w:w="4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Michael Otworth</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2,730,350</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5.77 %</w:t>
            </w:r>
          </w:p>
        </w:tc>
      </w:tr>
      <w:tr>
        <w:trPr>
          <w:trHeight w:val="180"/>
        </w:trPr>
        <w:tc>
          <w:tcPr>
            <w:tcW w:w="45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John Scott</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3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1,884,150</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3.97 %</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Yablunosky...................................................</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184,635</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Suzanne Niemeyer...................................................</w:t>
            </w:r>
          </w:p>
        </w:tc>
        <w:tc>
          <w:tcPr>
            <w:tcW w:w="3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153,005</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Bruce Brown............................................................</w:t>
            </w:r>
          </w:p>
        </w:tc>
        <w:tc>
          <w:tcPr>
            <w:tcW w:w="3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Elizabeth Williams...................................................</w:t>
            </w:r>
          </w:p>
        </w:tc>
        <w:tc>
          <w:tcPr>
            <w:tcW w:w="3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J. Hennessy...................................................</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1,170,262</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Amalfitano.................................................</w:t>
            </w:r>
          </w:p>
        </w:tc>
        <w:tc>
          <w:tcPr>
            <w:tcW w:w="3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4"/>
        </w:trPr>
        <w:tc>
          <w:tcPr>
            <w:tcW w:w="45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i w:val="1"/>
                <w:iCs w:val="1"/>
                <w:color w:val="auto"/>
              </w:rPr>
              <w:t>All Directors and Executive Officers as a Group (11 Individuals)</w:t>
            </w:r>
          </w:p>
        </w:tc>
        <w:tc>
          <w:tcPr>
            <w:tcW w:w="3340" w:type="dxa"/>
            <w:vAlign w:val="bottom"/>
            <w:shd w:val="clear" w:color="auto" w:fill="CCEEFF"/>
          </w:tcPr>
          <w:p>
            <w:pPr>
              <w:jc w:val="right"/>
              <w:ind w:right="129"/>
              <w:spacing w:after="0" w:line="145" w:lineRule="exact"/>
              <w:rPr>
                <w:sz w:val="20"/>
                <w:szCs w:val="20"/>
                <w:color w:val="auto"/>
              </w:rPr>
            </w:pPr>
            <w:r>
              <w:rPr>
                <w:rFonts w:ascii="Times New Roman" w:cs="Times New Roman" w:eastAsia="Times New Roman" w:hAnsi="Times New Roman"/>
                <w:sz w:val="14"/>
                <w:szCs w:val="14"/>
                <w:color w:val="auto"/>
              </w:rPr>
              <w:t>11,599,059</w:t>
            </w:r>
          </w:p>
        </w:tc>
        <w:tc>
          <w:tcPr>
            <w:tcW w:w="2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24.35 %</w:t>
            </w:r>
          </w:p>
        </w:tc>
      </w:tr>
      <w:tr>
        <w:trPr>
          <w:trHeight w:val="18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34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Five Percent Holders</w:t>
            </w:r>
          </w:p>
        </w:tc>
        <w:tc>
          <w:tcPr>
            <w:tcW w:w="33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80"/>
        </w:trPr>
        <w:tc>
          <w:tcPr>
            <w:tcW w:w="4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WE-INN LLC</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8,697,656</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18.46 %</w:t>
            </w:r>
          </w:p>
        </w:tc>
      </w:t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Ascent X Innventure TC, A Series of Ascent X Innventure,</w:t>
            </w:r>
          </w:p>
        </w:tc>
        <w:tc>
          <w:tcPr>
            <w:tcW w:w="3340" w:type="dxa"/>
            <w:vAlign w:val="bottom"/>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4,828,850</w:t>
            </w:r>
          </w:p>
        </w:tc>
        <w:tc>
          <w:tcPr>
            <w:tcW w:w="2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10.25 %</w:t>
            </w:r>
          </w:p>
        </w:tc>
      </w:tr>
      <w:tr>
        <w:trPr>
          <w:trHeight w:val="187"/>
        </w:trPr>
        <w:tc>
          <w:tcPr>
            <w:tcW w:w="4580" w:type="dxa"/>
            <w:vAlign w:val="bottom"/>
          </w:tcPr>
          <w:p>
            <w:pPr>
              <w:ind w:left="20"/>
              <w:spacing w:after="0" w:line="188" w:lineRule="exact"/>
              <w:rPr>
                <w:sz w:val="20"/>
                <w:szCs w:val="20"/>
                <w:color w:val="auto"/>
              </w:rPr>
            </w:pPr>
            <w:r>
              <w:rPr>
                <w:rFonts w:ascii="Times New Roman" w:cs="Times New Roman" w:eastAsia="Times New Roman" w:hAnsi="Times New Roman"/>
                <w:sz w:val="14"/>
                <w:szCs w:val="14"/>
                <w:color w:val="auto"/>
              </w:rPr>
              <w:t>LP</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w:t>
            </w:r>
          </w:p>
        </w:tc>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0"/>
        </w:trPr>
        <w:tc>
          <w:tcPr>
            <w:tcW w:w="4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CastleKnight Master Fund LP</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w:t>
            </w:r>
          </w:p>
        </w:tc>
        <w:tc>
          <w:tcPr>
            <w:tcW w:w="3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3,953,354</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8.39 %</w:t>
            </w:r>
          </w:p>
        </w:tc>
      </w:tr>
      <w:tr>
        <w:trPr>
          <w:trHeight w:val="24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Glockner Family Venture Fund, LP</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w:t>
            </w:r>
          </w:p>
        </w:tc>
        <w:tc>
          <w:tcPr>
            <w:tcW w:w="3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3,779,154</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7.53 %</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less than 1%</w:t>
      </w:r>
    </w:p>
    <w:p>
      <w:pPr>
        <w:spacing w:after="0" w:line="13" w:lineRule="exact"/>
        <w:rPr>
          <w:sz w:val="20"/>
          <w:szCs w:val="20"/>
          <w:color w:val="auto"/>
        </w:rPr>
      </w:pPr>
    </w:p>
    <w:p>
      <w:pPr>
        <w:ind w:right="140" w:firstLine="5"/>
        <w:spacing w:after="0" w:line="241"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1,405,664 shares of Common Stock held by the James O. Donnally Revocable Trust over which Mr. Donnally has sole voting and investment power and (ii) 2,552,856 shares of Common Stock that may be deemed to be beneficially owned by Mr. Donnally, which shares are held by certain trusts, including (a) 132,753 shares held by the Barbara G. Glockner Trust, for the benefit of Joseph C. Glockner; (b) 132,753 shares held by the Barbara G. Glockner Trust, for the benefit of Michael P. Glockner; (c) 132,753 shares held by the Barbara G. Glockner Trust, for the benefit of Timothy E. Glockner; (d) 700,822 shares held by the Joseph C. Glockner Revocable Trust; (e) 700,822 shares held by Michael P. Glockner Revocable Trust; (f) 700,822 shares held by the Timothy E. Glockner Revocable Trust; (g) 3,715 shares held by the Andrew M. Glockner Revocable Trust; and (h) 48,416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2" w:lineRule="exact"/>
        <w:rPr>
          <w:rFonts w:ascii="Times New Roman" w:cs="Times New Roman" w:eastAsia="Times New Roman" w:hAnsi="Times New Roman"/>
          <w:sz w:val="11"/>
          <w:szCs w:val="11"/>
          <w:color w:val="auto"/>
        </w:rPr>
      </w:pPr>
    </w:p>
    <w:p>
      <w:pPr>
        <w:ind w:right="80" w:firstLine="5"/>
        <w:spacing w:after="0" w:line="239" w:lineRule="auto"/>
        <w:tabs>
          <w:tab w:leader="none" w:pos="1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Otworth holds 2,552,625 shares of Common Stock and 114,161 shares of Series C Preferred Stock. As of April 8, 2025, if the registration statement (the “Series C Preferred Stock Resale Registration Statement”) were effective, these shares of Series C Preferred Stock would be convertible into 177,725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firstLine="5"/>
        <w:spacing w:after="0" w:line="249" w:lineRule="auto"/>
        <w:tabs>
          <w:tab w:leader="none" w:pos="1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Scott holds 1,531,795 shares of Common Stock and 226,334 shares of Series C Preferred Stock. As of April 8, 2025, if the Series C Preferred Stock Resale Registration Statement were effective, these shares of Series C Preferred Stock would be convertible into 352,355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ind w:left="160" w:hanging="155"/>
        <w:spacing w:after="0"/>
        <w:tabs>
          <w:tab w:leader="none" w:pos="1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Greg Wasson has voting and investment power over the securities held by WE-INN LLC.</w:t>
      </w:r>
    </w:p>
    <w:p>
      <w:pPr>
        <w:ind w:firstLine="5"/>
        <w:spacing w:after="0" w:line="241" w:lineRule="auto"/>
        <w:tabs>
          <w:tab w:leader="none" w:pos="1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Ascent X Innventure TC, A Series of Ascent X Innventure, LP is a limited partnership (“Ascent”). Voting and investment power over the shares held by Ascent is exercised by Jonathan Loeffler and Mark Pomeroy Jr. The address for Ascent is 5956 Sherry Lane, 20th Floor, Dallas, Texas 75225.</w:t>
      </w:r>
    </w:p>
    <w:p>
      <w:pPr>
        <w:ind w:firstLine="5"/>
        <w:spacing w:after="0" w:line="241" w:lineRule="auto"/>
        <w:tabs>
          <w:tab w:leader="none" w:pos="1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jc w:val="both"/>
        <w:ind w:firstLine="5"/>
        <w:spacing w:after="0" w:line="239" w:lineRule="auto"/>
        <w:tabs>
          <w:tab w:leader="none" w:pos="1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Glockner Family Venture Fund, LP holds 711,717 shares of Common Stock and 1,970,353 shares of Series C Preferred Stock. As of April 8, 2025, if the Series C Preferred Stock Resale Registration Statement were effective, these shares of Series C Preferred Stock would be convertible into 3,067,437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1720" w:type="dxa"/>
            <w:vAlign w:val="bottom"/>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8"/>
              </w:rPr>
              <w:t>Number of securities</w:t>
            </w:r>
          </w:p>
        </w:tc>
        <w:tc>
          <w:tcPr>
            <w:tcW w:w="760" w:type="dxa"/>
            <w:vAlign w:val="bottom"/>
          </w:tcPr>
          <w:p>
            <w:pPr>
              <w:spacing w:after="0"/>
              <w:rPr>
                <w:sz w:val="10"/>
                <w:szCs w:val="10"/>
                <w:color w:val="auto"/>
              </w:rPr>
            </w:pPr>
          </w:p>
        </w:tc>
        <w:tc>
          <w:tcPr>
            <w:tcW w:w="2780" w:type="dxa"/>
            <w:vAlign w:val="bottom"/>
          </w:tcPr>
          <w:p>
            <w:pPr>
              <w:jc w:val="center"/>
              <w:ind w:right="766"/>
              <w:spacing w:after="0"/>
              <w:rPr>
                <w:sz w:val="20"/>
                <w:szCs w:val="20"/>
                <w:color w:val="auto"/>
              </w:rPr>
            </w:pPr>
            <w:r>
              <w:rPr>
                <w:rFonts w:ascii="Times New Roman" w:cs="Times New Roman" w:eastAsia="Times New Roman" w:hAnsi="Times New Roman"/>
                <w:sz w:val="10"/>
                <w:szCs w:val="10"/>
                <w:b w:val="1"/>
                <w:bCs w:val="1"/>
                <w:color w:val="auto"/>
                <w:w w:val="97"/>
              </w:rPr>
              <w:t>Weighted-average</w:t>
            </w:r>
          </w:p>
        </w:tc>
        <w:tc>
          <w:tcPr>
            <w:tcW w:w="4140" w:type="dxa"/>
            <w:vAlign w:val="bottom"/>
          </w:tcPr>
          <w:p>
            <w:pPr>
              <w:jc w:val="right"/>
              <w:ind w:right="802"/>
              <w:spacing w:after="0"/>
              <w:rPr>
                <w:sz w:val="20"/>
                <w:szCs w:val="20"/>
                <w:color w:val="auto"/>
              </w:rPr>
            </w:pPr>
            <w:r>
              <w:rPr>
                <w:rFonts w:ascii="Times New Roman" w:cs="Times New Roman" w:eastAsia="Times New Roman" w:hAnsi="Times New Roman"/>
                <w:sz w:val="10"/>
                <w:szCs w:val="10"/>
                <w:b w:val="1"/>
                <w:bCs w:val="1"/>
                <w:color w:val="auto"/>
              </w:rPr>
              <w:t>Number of securities remaining available for future issuance under equity</w:t>
            </w:r>
          </w:p>
        </w:tc>
      </w:tr>
      <w:tr>
        <w:trPr>
          <w:trHeight w:val="95"/>
        </w:trPr>
        <w:tc>
          <w:tcPr>
            <w:tcW w:w="1880" w:type="dxa"/>
            <w:vAlign w:val="bottom"/>
          </w:tcPr>
          <w:p>
            <w:pPr>
              <w:spacing w:after="0"/>
              <w:rPr>
                <w:sz w:val="8"/>
                <w:szCs w:val="8"/>
                <w:color w:val="auto"/>
              </w:rPr>
            </w:pPr>
          </w:p>
        </w:tc>
        <w:tc>
          <w:tcPr>
            <w:tcW w:w="1720" w:type="dxa"/>
            <w:vAlign w:val="bottom"/>
          </w:tcPr>
          <w:p>
            <w:pPr>
              <w:jc w:val="center"/>
              <w:ind w:right="166"/>
              <w:spacing w:after="0" w:line="96" w:lineRule="exact"/>
              <w:rPr>
                <w:sz w:val="20"/>
                <w:szCs w:val="20"/>
                <w:color w:val="auto"/>
              </w:rPr>
            </w:pPr>
            <w:r>
              <w:rPr>
                <w:rFonts w:ascii="Times New Roman" w:cs="Times New Roman" w:eastAsia="Times New Roman" w:hAnsi="Times New Roman"/>
                <w:sz w:val="10"/>
                <w:szCs w:val="10"/>
                <w:b w:val="1"/>
                <w:bCs w:val="1"/>
                <w:color w:val="auto"/>
              </w:rPr>
              <w:t>to be issued upon</w:t>
            </w:r>
          </w:p>
        </w:tc>
        <w:tc>
          <w:tcPr>
            <w:tcW w:w="760" w:type="dxa"/>
            <w:vAlign w:val="bottom"/>
          </w:tcPr>
          <w:p>
            <w:pPr>
              <w:spacing w:after="0"/>
              <w:rPr>
                <w:sz w:val="8"/>
                <w:szCs w:val="8"/>
                <w:color w:val="auto"/>
              </w:rPr>
            </w:pPr>
          </w:p>
        </w:tc>
        <w:tc>
          <w:tcPr>
            <w:tcW w:w="2780" w:type="dxa"/>
            <w:vAlign w:val="bottom"/>
          </w:tcPr>
          <w:p>
            <w:pPr>
              <w:jc w:val="center"/>
              <w:ind w:right="766"/>
              <w:spacing w:after="0" w:line="96" w:lineRule="exact"/>
              <w:rPr>
                <w:sz w:val="20"/>
                <w:szCs w:val="20"/>
                <w:color w:val="auto"/>
              </w:rPr>
            </w:pPr>
            <w:r>
              <w:rPr>
                <w:rFonts w:ascii="Times New Roman" w:cs="Times New Roman" w:eastAsia="Times New Roman" w:hAnsi="Times New Roman"/>
                <w:sz w:val="10"/>
                <w:szCs w:val="10"/>
                <w:b w:val="1"/>
                <w:bCs w:val="1"/>
                <w:color w:val="auto"/>
                <w:w w:val="98"/>
              </w:rPr>
              <w:t>exercise price of</w:t>
            </w:r>
          </w:p>
        </w:tc>
        <w:tc>
          <w:tcPr>
            <w:tcW w:w="4140" w:type="dxa"/>
            <w:vAlign w:val="bottom"/>
          </w:tcPr>
          <w:p>
            <w:pPr>
              <w:jc w:val="right"/>
              <w:ind w:right="882"/>
              <w:spacing w:after="0" w:line="96" w:lineRule="exact"/>
              <w:rPr>
                <w:sz w:val="20"/>
                <w:szCs w:val="20"/>
                <w:color w:val="auto"/>
              </w:rPr>
            </w:pPr>
            <w:r>
              <w:rPr>
                <w:rFonts w:ascii="Times New Roman" w:cs="Times New Roman" w:eastAsia="Times New Roman" w:hAnsi="Times New Roman"/>
                <w:sz w:val="10"/>
                <w:szCs w:val="10"/>
                <w:b w:val="1"/>
                <w:bCs w:val="1"/>
                <w:color w:val="auto"/>
              </w:rPr>
              <w:t>compensation plans (excluding securities reflected in column (a))(3)(c)</w:t>
            </w:r>
          </w:p>
        </w:tc>
      </w:tr>
      <w:tr>
        <w:trPr>
          <w:trHeight w:val="101"/>
        </w:trPr>
        <w:tc>
          <w:tcPr>
            <w:tcW w:w="1880" w:type="dxa"/>
            <w:vAlign w:val="bottom"/>
          </w:tcPr>
          <w:p>
            <w:pPr>
              <w:spacing w:after="0"/>
              <w:rPr>
                <w:sz w:val="8"/>
                <w:szCs w:val="8"/>
                <w:color w:val="auto"/>
              </w:rPr>
            </w:pPr>
          </w:p>
        </w:tc>
        <w:tc>
          <w:tcPr>
            <w:tcW w:w="1720" w:type="dxa"/>
            <w:vAlign w:val="bottom"/>
          </w:tcPr>
          <w:p>
            <w:pPr>
              <w:jc w:val="center"/>
              <w:ind w:right="166"/>
              <w:spacing w:after="0" w:line="102" w:lineRule="exact"/>
              <w:rPr>
                <w:sz w:val="20"/>
                <w:szCs w:val="20"/>
                <w:color w:val="auto"/>
              </w:rPr>
            </w:pPr>
            <w:r>
              <w:rPr>
                <w:rFonts w:ascii="Times New Roman" w:cs="Times New Roman" w:eastAsia="Times New Roman" w:hAnsi="Times New Roman"/>
                <w:sz w:val="10"/>
                <w:szCs w:val="10"/>
                <w:b w:val="1"/>
                <w:bCs w:val="1"/>
                <w:color w:val="auto"/>
              </w:rPr>
              <w:t>exercise of outstanding</w:t>
            </w:r>
          </w:p>
        </w:tc>
        <w:tc>
          <w:tcPr>
            <w:tcW w:w="760" w:type="dxa"/>
            <w:vAlign w:val="bottom"/>
          </w:tcPr>
          <w:p>
            <w:pPr>
              <w:spacing w:after="0"/>
              <w:rPr>
                <w:sz w:val="8"/>
                <w:szCs w:val="8"/>
                <w:color w:val="auto"/>
              </w:rPr>
            </w:pPr>
          </w:p>
        </w:tc>
        <w:tc>
          <w:tcPr>
            <w:tcW w:w="2780" w:type="dxa"/>
            <w:vAlign w:val="bottom"/>
          </w:tcPr>
          <w:p>
            <w:pPr>
              <w:jc w:val="center"/>
              <w:ind w:right="746"/>
              <w:spacing w:after="0" w:line="102" w:lineRule="exact"/>
              <w:rPr>
                <w:sz w:val="20"/>
                <w:szCs w:val="20"/>
                <w:color w:val="auto"/>
              </w:rPr>
            </w:pPr>
            <w:r>
              <w:rPr>
                <w:rFonts w:ascii="Times New Roman" w:cs="Times New Roman" w:eastAsia="Times New Roman" w:hAnsi="Times New Roman"/>
                <w:sz w:val="10"/>
                <w:szCs w:val="10"/>
                <w:b w:val="1"/>
                <w:bCs w:val="1"/>
                <w:color w:val="auto"/>
                <w:w w:val="98"/>
              </w:rPr>
              <w:t>outstanding</w:t>
            </w:r>
          </w:p>
        </w:tc>
        <w:tc>
          <w:tcPr>
            <w:tcW w:w="4140" w:type="dxa"/>
            <w:vAlign w:val="bottom"/>
          </w:tcPr>
          <w:p>
            <w:pPr>
              <w:spacing w:after="0"/>
              <w:rPr>
                <w:sz w:val="8"/>
                <w:szCs w:val="8"/>
                <w:color w:val="auto"/>
              </w:rPr>
            </w:pPr>
          </w:p>
        </w:tc>
      </w:tr>
      <w:tr>
        <w:trPr>
          <w:trHeight w:val="100"/>
        </w:trPr>
        <w:tc>
          <w:tcPr>
            <w:tcW w:w="1880" w:type="dxa"/>
            <w:vAlign w:val="bottom"/>
          </w:tcPr>
          <w:p>
            <w:pPr>
              <w:spacing w:after="0"/>
              <w:rPr>
                <w:sz w:val="8"/>
                <w:szCs w:val="8"/>
                <w:color w:val="auto"/>
              </w:rPr>
            </w:pPr>
          </w:p>
        </w:tc>
        <w:tc>
          <w:tcPr>
            <w:tcW w:w="1720" w:type="dxa"/>
            <w:vAlign w:val="bottom"/>
          </w:tcPr>
          <w:p>
            <w:pPr>
              <w:jc w:val="center"/>
              <w:ind w:right="166"/>
              <w:spacing w:after="0" w:line="101" w:lineRule="exact"/>
              <w:rPr>
                <w:sz w:val="20"/>
                <w:szCs w:val="20"/>
                <w:color w:val="auto"/>
              </w:rPr>
            </w:pPr>
            <w:r>
              <w:rPr>
                <w:rFonts w:ascii="Times New Roman" w:cs="Times New Roman" w:eastAsia="Times New Roman" w:hAnsi="Times New Roman"/>
                <w:sz w:val="10"/>
                <w:szCs w:val="10"/>
                <w:b w:val="1"/>
                <w:bCs w:val="1"/>
                <w:color w:val="auto"/>
              </w:rPr>
              <w:t>options, warrants and</w:t>
            </w:r>
          </w:p>
        </w:tc>
        <w:tc>
          <w:tcPr>
            <w:tcW w:w="760" w:type="dxa"/>
            <w:vAlign w:val="bottom"/>
          </w:tcPr>
          <w:p>
            <w:pPr>
              <w:spacing w:after="0"/>
              <w:rPr>
                <w:sz w:val="8"/>
                <w:szCs w:val="8"/>
                <w:color w:val="auto"/>
              </w:rPr>
            </w:pPr>
          </w:p>
        </w:tc>
        <w:tc>
          <w:tcPr>
            <w:tcW w:w="2780" w:type="dxa"/>
            <w:vAlign w:val="bottom"/>
          </w:tcPr>
          <w:p>
            <w:pPr>
              <w:jc w:val="center"/>
              <w:ind w:right="746"/>
              <w:spacing w:after="0" w:line="101" w:lineRule="exact"/>
              <w:rPr>
                <w:sz w:val="20"/>
                <w:szCs w:val="20"/>
                <w:color w:val="auto"/>
              </w:rPr>
            </w:pPr>
            <w:r>
              <w:rPr>
                <w:rFonts w:ascii="Times New Roman" w:cs="Times New Roman" w:eastAsia="Times New Roman" w:hAnsi="Times New Roman"/>
                <w:sz w:val="10"/>
                <w:szCs w:val="10"/>
                <w:b w:val="1"/>
                <w:bCs w:val="1"/>
                <w:color w:val="auto"/>
                <w:w w:val="98"/>
              </w:rPr>
              <w:t>options, warrants</w:t>
            </w:r>
          </w:p>
        </w:tc>
        <w:tc>
          <w:tcPr>
            <w:tcW w:w="4140" w:type="dxa"/>
            <w:vAlign w:val="bottom"/>
          </w:tcPr>
          <w:p>
            <w:pPr>
              <w:spacing w:after="0"/>
              <w:rPr>
                <w:sz w:val="8"/>
                <w:szCs w:val="8"/>
                <w:color w:val="auto"/>
              </w:rPr>
            </w:pPr>
          </w:p>
        </w:tc>
      </w:tr>
      <w:tr>
        <w:trPr>
          <w:trHeight w:val="95"/>
        </w:trPr>
        <w:tc>
          <w:tcPr>
            <w:tcW w:w="1880" w:type="dxa"/>
            <w:vAlign w:val="bottom"/>
          </w:tcPr>
          <w:p>
            <w:pPr>
              <w:spacing w:after="0"/>
              <w:rPr>
                <w:sz w:val="8"/>
                <w:szCs w:val="8"/>
                <w:color w:val="auto"/>
              </w:rPr>
            </w:pPr>
          </w:p>
        </w:tc>
        <w:tc>
          <w:tcPr>
            <w:tcW w:w="1720" w:type="dxa"/>
            <w:vAlign w:val="bottom"/>
          </w:tcPr>
          <w:p>
            <w:pPr>
              <w:jc w:val="center"/>
              <w:ind w:right="166"/>
              <w:spacing w:after="0" w:line="96" w:lineRule="exact"/>
              <w:rPr>
                <w:sz w:val="20"/>
                <w:szCs w:val="20"/>
                <w:color w:val="auto"/>
              </w:rPr>
            </w:pPr>
            <w:r>
              <w:rPr>
                <w:rFonts w:ascii="Times New Roman" w:cs="Times New Roman" w:eastAsia="Times New Roman" w:hAnsi="Times New Roman"/>
                <w:sz w:val="10"/>
                <w:szCs w:val="10"/>
                <w:b w:val="1"/>
                <w:bCs w:val="1"/>
                <w:color w:val="auto"/>
              </w:rPr>
              <w:t>rights(1)</w:t>
            </w:r>
          </w:p>
        </w:tc>
        <w:tc>
          <w:tcPr>
            <w:tcW w:w="760" w:type="dxa"/>
            <w:vAlign w:val="bottom"/>
          </w:tcPr>
          <w:p>
            <w:pPr>
              <w:spacing w:after="0"/>
              <w:rPr>
                <w:sz w:val="8"/>
                <w:szCs w:val="8"/>
                <w:color w:val="auto"/>
              </w:rPr>
            </w:pPr>
          </w:p>
        </w:tc>
        <w:tc>
          <w:tcPr>
            <w:tcW w:w="2780" w:type="dxa"/>
            <w:vAlign w:val="bottom"/>
          </w:tcPr>
          <w:p>
            <w:pPr>
              <w:jc w:val="center"/>
              <w:ind w:right="766"/>
              <w:spacing w:after="0" w:line="96" w:lineRule="exact"/>
              <w:rPr>
                <w:sz w:val="20"/>
                <w:szCs w:val="20"/>
                <w:color w:val="auto"/>
              </w:rPr>
            </w:pPr>
            <w:r>
              <w:rPr>
                <w:rFonts w:ascii="Times New Roman" w:cs="Times New Roman" w:eastAsia="Times New Roman" w:hAnsi="Times New Roman"/>
                <w:sz w:val="10"/>
                <w:szCs w:val="10"/>
                <w:b w:val="1"/>
                <w:bCs w:val="1"/>
                <w:color w:val="auto"/>
              </w:rPr>
              <w:t>and rights(2)</w:t>
            </w:r>
          </w:p>
        </w:tc>
        <w:tc>
          <w:tcPr>
            <w:tcW w:w="4140" w:type="dxa"/>
            <w:vAlign w:val="bottom"/>
          </w:tcPr>
          <w:p>
            <w:pPr>
              <w:spacing w:after="0"/>
              <w:rPr>
                <w:sz w:val="8"/>
                <w:szCs w:val="8"/>
                <w:color w:val="auto"/>
              </w:rPr>
            </w:pPr>
          </w:p>
        </w:tc>
      </w:tr>
      <w:tr>
        <w:trPr>
          <w:trHeight w:val="139"/>
        </w:trPr>
        <w:tc>
          <w:tcPr>
            <w:tcW w:w="18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85"/>
              </w:rPr>
              <w:t>(a)</w:t>
            </w:r>
          </w:p>
        </w:tc>
        <w:tc>
          <w:tcPr>
            <w:tcW w:w="7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jc w:val="center"/>
              <w:ind w:right="766"/>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4140" w:type="dxa"/>
            <w:vAlign w:val="bottom"/>
            <w:tcBorders>
              <w:bottom w:val="single" w:sz="8" w:color="auto"/>
            </w:tcBorders>
          </w:tcPr>
          <w:p>
            <w:pPr>
              <w:spacing w:after="0"/>
              <w:rPr>
                <w:sz w:val="12"/>
                <w:szCs w:val="12"/>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Equity compensation plans</w:t>
            </w:r>
          </w:p>
        </w:tc>
        <w:tc>
          <w:tcPr>
            <w:tcW w:w="1720" w:type="dxa"/>
            <w:vAlign w:val="bottom"/>
            <w:shd w:val="clear" w:color="auto" w:fill="CCEEFF"/>
          </w:tcPr>
          <w:p>
            <w:pPr>
              <w:jc w:val="right"/>
              <w:ind w:right="46"/>
              <w:spacing w:after="0" w:line="128" w:lineRule="exact"/>
              <w:rPr>
                <w:sz w:val="20"/>
                <w:szCs w:val="20"/>
                <w:color w:val="auto"/>
              </w:rPr>
            </w:pPr>
            <w:r>
              <w:rPr>
                <w:rFonts w:ascii="Times New Roman" w:cs="Times New Roman" w:eastAsia="Times New Roman" w:hAnsi="Times New Roman"/>
                <w:sz w:val="13"/>
                <w:szCs w:val="13"/>
                <w:color w:val="auto"/>
              </w:rPr>
              <w:t>3,878,195</w:t>
            </w:r>
          </w:p>
        </w:tc>
        <w:tc>
          <w:tcPr>
            <w:tcW w:w="760" w:type="dxa"/>
            <w:vAlign w:val="bottom"/>
            <w:shd w:val="clear" w:color="auto" w:fill="CCEEFF"/>
          </w:tcPr>
          <w:p>
            <w:pPr>
              <w:jc w:val="right"/>
              <w:ind w:right="536"/>
              <w:spacing w:after="0" w:line="128" w:lineRule="exact"/>
              <w:rPr>
                <w:sz w:val="20"/>
                <w:szCs w:val="20"/>
                <w:color w:val="auto"/>
              </w:rPr>
            </w:pPr>
            <w:r>
              <w:rPr>
                <w:rFonts w:ascii="Times New Roman" w:cs="Times New Roman" w:eastAsia="Times New Roman" w:hAnsi="Times New Roman"/>
                <w:sz w:val="13"/>
                <w:szCs w:val="13"/>
                <w:color w:val="auto"/>
              </w:rPr>
              <w:t>$</w:t>
            </w:r>
          </w:p>
        </w:tc>
        <w:tc>
          <w:tcPr>
            <w:tcW w:w="2780" w:type="dxa"/>
            <w:vAlign w:val="bottom"/>
            <w:shd w:val="clear" w:color="auto" w:fill="CCEEFF"/>
          </w:tcPr>
          <w:p>
            <w:pPr>
              <w:jc w:val="right"/>
              <w:ind w:right="86"/>
              <w:spacing w:after="0" w:line="128" w:lineRule="exact"/>
              <w:rPr>
                <w:sz w:val="20"/>
                <w:szCs w:val="20"/>
                <w:color w:val="auto"/>
              </w:rPr>
            </w:pPr>
            <w:r>
              <w:rPr>
                <w:rFonts w:ascii="Times New Roman" w:cs="Times New Roman" w:eastAsia="Times New Roman" w:hAnsi="Times New Roman"/>
                <w:sz w:val="13"/>
                <w:szCs w:val="13"/>
                <w:color w:val="auto"/>
              </w:rPr>
              <w:t>12.20</w:t>
            </w:r>
          </w:p>
        </w:tc>
        <w:tc>
          <w:tcPr>
            <w:tcW w:w="4140" w:type="dxa"/>
            <w:vAlign w:val="bottom"/>
            <w:shd w:val="clear" w:color="auto" w:fill="CCEEFF"/>
          </w:tcPr>
          <w:p>
            <w:pPr>
              <w:jc w:val="right"/>
              <w:ind w:right="702"/>
              <w:spacing w:after="0" w:line="128" w:lineRule="exact"/>
              <w:rPr>
                <w:sz w:val="20"/>
                <w:szCs w:val="20"/>
                <w:color w:val="auto"/>
              </w:rPr>
            </w:pPr>
            <w:r>
              <w:rPr>
                <w:rFonts w:ascii="Times New Roman" w:cs="Times New Roman" w:eastAsia="Times New Roman" w:hAnsi="Times New Roman"/>
                <w:sz w:val="13"/>
                <w:szCs w:val="13"/>
                <w:color w:val="auto"/>
              </w:rPr>
              <w:t>7,144,699</w:t>
            </w:r>
          </w:p>
        </w:tc>
      </w:tr>
      <w:tr>
        <w:trPr>
          <w:trHeight w:val="168"/>
        </w:trPr>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approved by security holders</w:t>
            </w:r>
          </w:p>
        </w:tc>
        <w:tc>
          <w:tcPr>
            <w:tcW w:w="17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780" w:type="dxa"/>
            <w:vAlign w:val="bottom"/>
            <w:tcBorders>
              <w:bottom w:val="single" w:sz="8" w:color="auto"/>
            </w:tcBorders>
            <w:shd w:val="clear" w:color="auto" w:fill="CCEEFF"/>
          </w:tcPr>
          <w:p>
            <w:pPr>
              <w:spacing w:after="0"/>
              <w:rPr>
                <w:sz w:val="14"/>
                <w:szCs w:val="14"/>
                <w:color w:val="auto"/>
              </w:rPr>
            </w:pPr>
          </w:p>
        </w:tc>
        <w:tc>
          <w:tcPr>
            <w:tcW w:w="4140" w:type="dxa"/>
            <w:vAlign w:val="bottom"/>
            <w:tcBorders>
              <w:bottom w:val="single" w:sz="8" w:color="auto"/>
            </w:tcBorders>
            <w:shd w:val="clear" w:color="auto" w:fill="CCEEFF"/>
          </w:tcPr>
          <w:p>
            <w:pPr>
              <w:spacing w:after="0"/>
              <w:rPr>
                <w:sz w:val="14"/>
                <w:szCs w:val="14"/>
                <w:color w:val="auto"/>
              </w:rPr>
            </w:pPr>
          </w:p>
        </w:tc>
      </w:tr>
      <w:tr>
        <w:trPr>
          <w:trHeight w:val="120"/>
        </w:trPr>
        <w:tc>
          <w:tcPr>
            <w:tcW w:w="188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Equity compensation plans not</w:t>
            </w:r>
          </w:p>
        </w:tc>
        <w:tc>
          <w:tcPr>
            <w:tcW w:w="1720" w:type="dxa"/>
            <w:vAlign w:val="bottom"/>
          </w:tcPr>
          <w:p>
            <w:pPr>
              <w:jc w:val="right"/>
              <w:ind w:right="46"/>
              <w:spacing w:after="0" w:line="120"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0"/>
                <w:szCs w:val="10"/>
                <w:color w:val="auto"/>
              </w:rPr>
            </w:pPr>
          </w:p>
        </w:tc>
        <w:tc>
          <w:tcPr>
            <w:tcW w:w="2780" w:type="dxa"/>
            <w:vAlign w:val="bottom"/>
          </w:tcPr>
          <w:p>
            <w:pPr>
              <w:jc w:val="right"/>
              <w:ind w:right="86"/>
              <w:spacing w:after="0" w:line="120" w:lineRule="exact"/>
              <w:rPr>
                <w:sz w:val="20"/>
                <w:szCs w:val="20"/>
                <w:color w:val="auto"/>
              </w:rPr>
            </w:pPr>
            <w:r>
              <w:rPr>
                <w:rFonts w:ascii="Times New Roman" w:cs="Times New Roman" w:eastAsia="Times New Roman" w:hAnsi="Times New Roman"/>
                <w:sz w:val="13"/>
                <w:szCs w:val="13"/>
                <w:color w:val="auto"/>
              </w:rPr>
              <w:t>—</w:t>
            </w:r>
          </w:p>
        </w:tc>
        <w:tc>
          <w:tcPr>
            <w:tcW w:w="4140" w:type="dxa"/>
            <w:vAlign w:val="bottom"/>
          </w:tcPr>
          <w:p>
            <w:pPr>
              <w:jc w:val="right"/>
              <w:ind w:right="702"/>
              <w:spacing w:after="0" w:line="120" w:lineRule="exact"/>
              <w:rPr>
                <w:sz w:val="20"/>
                <w:szCs w:val="20"/>
                <w:color w:val="auto"/>
              </w:rPr>
            </w:pPr>
            <w:r>
              <w:rPr>
                <w:rFonts w:ascii="Times New Roman" w:cs="Times New Roman" w:eastAsia="Times New Roman" w:hAnsi="Times New Roman"/>
                <w:sz w:val="13"/>
                <w:szCs w:val="13"/>
                <w:color w:val="auto"/>
              </w:rPr>
              <w:t>—</w:t>
            </w:r>
          </w:p>
        </w:tc>
      </w:tr>
      <w:tr>
        <w:trPr>
          <w:trHeight w:val="168"/>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approved by security holders</w:t>
            </w:r>
          </w:p>
        </w:tc>
        <w:tc>
          <w:tcPr>
            <w:tcW w:w="1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r>
      <w:tr>
        <w:trPr>
          <w:trHeight w:val="160"/>
        </w:trPr>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3"/>
                <w:szCs w:val="13"/>
                <w:color w:val="auto"/>
              </w:rPr>
              <w:t>3,878,195</w:t>
            </w:r>
          </w:p>
        </w:tc>
        <w:tc>
          <w:tcPr>
            <w:tcW w:w="76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27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3"/>
                <w:szCs w:val="13"/>
                <w:color w:val="auto"/>
              </w:rPr>
              <w:t>12.20</w:t>
            </w:r>
          </w:p>
        </w:tc>
        <w:tc>
          <w:tcPr>
            <w:tcW w:w="414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3"/>
                <w:szCs w:val="13"/>
                <w:color w:val="auto"/>
              </w:rPr>
              <w:t>7,144,699</w:t>
            </w:r>
          </w:p>
        </w:tc>
      </w:tr>
    </w:tbl>
    <w:p>
      <w:pPr>
        <w:spacing w:after="0" w:line="82" w:lineRule="exact"/>
        <w:rPr>
          <w:sz w:val="20"/>
          <w:szCs w:val="20"/>
          <w:color w:val="auto"/>
        </w:rPr>
      </w:pPr>
    </w:p>
    <w:p>
      <w:pPr>
        <w:ind w:left="500" w:right="5200" w:hanging="481"/>
        <w:spacing w:after="0" w:line="239" w:lineRule="auto"/>
        <w:tabs>
          <w:tab w:leader="none" w:pos="50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Reflects options, restricted stock units and Accelsius SARs outstanding under the Innventure, Inc. 2024 Equity and Incentive Compensation Plan (the “2024 Plan”). Each Accelsius SAR represents the right of the holder to receive a number of shares of Common Stock with a value equal to the appreciation in the value of a Class A Common Unit of Accelsius Holdings LLC over a base price of $12.175 (such appreciation in value, the “spread”). We calculated the number of shares of Common Stock covered by the Accelsius SARs for purposes of this column</w:t>
      </w:r>
    </w:p>
    <w:p>
      <w:pPr>
        <w:ind w:left="50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(a) by determining the aggregate spread and dividing it by the fair market value of a share of Common Stock all as of December 31, 2024.</w:t>
      </w:r>
    </w:p>
    <w:p>
      <w:pPr>
        <w:spacing w:after="0" w:line="12" w:lineRule="exact"/>
        <w:rPr>
          <w:rFonts w:ascii="Times New Roman" w:cs="Times New Roman" w:eastAsia="Times New Roman" w:hAnsi="Times New Roman"/>
          <w:sz w:val="9"/>
          <w:szCs w:val="9"/>
          <w:color w:val="auto"/>
        </w:rPr>
      </w:pPr>
    </w:p>
    <w:p>
      <w:pPr>
        <w:ind w:left="500" w:right="5240" w:hanging="481"/>
        <w:spacing w:after="0" w:line="221" w:lineRule="auto"/>
        <w:tabs>
          <w:tab w:leader="none" w:pos="500"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weighted-average exercise price relates to outstanding stock options only. The Company’s restricted stock unit awards have no exercise price. The Accelsius SARs have a base price of $12.175, but such base price relates to Class A Common Units of Accelsius, not shares of Common Stock, and is already accounted for in the calculation of the number of shares of Common Stock covered by the Accelsius SARs included in column (a) as described in footnote 1 (and for the foregoing reasons is not reflected in this column (b)).</w:t>
      </w:r>
    </w:p>
    <w:p>
      <w:pPr>
        <w:spacing w:after="0" w:line="11" w:lineRule="exact"/>
        <w:rPr>
          <w:rFonts w:ascii="Times New Roman" w:cs="Times New Roman" w:eastAsia="Times New Roman" w:hAnsi="Times New Roman"/>
          <w:sz w:val="10"/>
          <w:szCs w:val="10"/>
          <w:color w:val="auto"/>
        </w:rPr>
      </w:pPr>
    </w:p>
    <w:p>
      <w:pPr>
        <w:ind w:left="500" w:right="5360" w:hanging="481"/>
        <w:spacing w:after="0" w:line="221" w:lineRule="auto"/>
        <w:tabs>
          <w:tab w:leader="none" w:pos="500" w:val="left"/>
        </w:tabs>
        <w:numPr>
          <w:ilvl w:val="0"/>
          <w:numId w:val="5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December 31, 2024, consists of the shares available for future issuance under the 2024 Plan, all of which may be issued for awards other than options, warrants or rights (such as restricted stock). In general, the aggregate share limit under the 2024 Plan will be automatically increased on the first day of each fiscal year, until 2034, by an amount equal to the lesser of (a) 3% of the shares of the Company’s common stock outstanding on the last day of the immediately preceding fiscal year and (b) such smaller number of shares as determined by the Board of Directors of the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Unless otherwise indicated, all dollar amounts (“$”) in this section are expressed in thousands, except share and per share amounts.</w:t>
      </w:r>
    </w:p>
    <w:p>
      <w:pPr>
        <w:spacing w:after="0" w:line="1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following is a description of each transaction since January 1, 2023 and each currently proposed transaction in which Innventure LLC, Innventure or the Innventure Companies has been or is to be a participant and:</w:t>
      </w:r>
    </w:p>
    <w:p>
      <w:pPr>
        <w:spacing w:after="0" w:line="146" w:lineRule="exact"/>
        <w:rPr>
          <w:sz w:val="20"/>
          <w:szCs w:val="20"/>
          <w:color w:val="auto"/>
        </w:rPr>
      </w:pPr>
    </w:p>
    <w:p>
      <w:pPr>
        <w:ind w:left="520" w:hanging="260"/>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exceeded or exceeds $120; and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AeroFlexx, Accelsius, Innventus ESG Fund I, L.P., and Innventure1,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Services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Option Agreement</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 principal amount of $7,600 that Innventure LLC previously loaned to AeroFlexx for working capital pursuant to interest-free loans that had not previously been formally documented is included as an amount outstanding under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$10,000 and no interest or principal has been paid on the Term Loans, and as of March 31, 2025 the current amount outstanding is $10,307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report, all intercompany transactions and balances have been eliminated in consolidation, including those related to this loan and security agreement with Accelsius.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fiscal year ended December 31, 2024, Innventure LLC informally loaned Refinity Holdings $530.</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 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Involving Innventure1</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ESG Fund Obligations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24, 2023, Innventure LLC and WE-INN paid to the ESG Fund its capital call obligation of approximately $100.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B-1 Unit Purchase Agreement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Intercompany Advancement of Expenses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 outstanding balance or otherwise remains outstanding. The following table details the aggregate amount advanced to each company (in excess of $120) per year since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520" w:type="dxa"/>
            <w:vAlign w:val="bottom"/>
            <w:gridSpan w:val="4"/>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r>
      <w:tr>
        <w:trPr>
          <w:trHeight w:val="188"/>
        </w:trPr>
        <w:tc>
          <w:tcPr>
            <w:tcW w:w="3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520" w:type="dxa"/>
            <w:vAlign w:val="bottom"/>
            <w:gridSpan w:val="4"/>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200" w:type="dxa"/>
            <w:vAlign w:val="bottom"/>
            <w:tcBorders>
              <w:top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20" w:type="dxa"/>
            <w:vAlign w:val="bottom"/>
            <w:tcBorders>
              <w:top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top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Accelsius</w:t>
            </w: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5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AeroFlexx</w:t>
            </w:r>
            <w:r>
              <w:rPr>
                <w:rFonts w:ascii="Times New Roman" w:cs="Times New Roman" w:eastAsia="Times New Roman" w:hAnsi="Times New Roman"/>
                <w:sz w:val="14"/>
                <w:szCs w:val="14"/>
                <w:color w:val="auto"/>
              </w:rPr>
              <w:t>........................................................................</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ESG Fund</w:t>
            </w: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Refinity</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917"/>
        </w:trPr>
        <w:tc>
          <w:tcPr>
            <w:tcW w:w="3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32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150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c>
          <w:tcPr>
            <w:tcW w:w="150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AeroFlexx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and Security Agreements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 (ii) 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James Donnally, a member of the Board, also serves as a director of Auto Now Acceptance Company, the parent company of Auto Now.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Accelsius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Series 2 Units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 2023, the ESG Fund purchased 23,712 Class A Series 2 Units of Accelsius for aggregate proceeds of approximately $100.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Investor Rights Agreement</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Pursuant to the terms of the Business Combination Agreement, at the Closing, Innventure and Founding Investors entered into the Investor Rights Agreement. See the section entitled “</w:t>
      </w:r>
      <w:r>
        <w:rPr>
          <w:rFonts w:ascii="Times New Roman" w:cs="Times New Roman" w:eastAsia="Times New Roman" w:hAnsi="Times New Roman"/>
          <w:sz w:val="14"/>
          <w:szCs w:val="14"/>
          <w:i w:val="1"/>
          <w:iCs w:val="1"/>
          <w:color w:val="auto"/>
        </w:rPr>
        <w:t>Director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Nominations—Agreements to Nominate Certain Directors</w:t>
      </w:r>
      <w:r>
        <w:rPr>
          <w:rFonts w:ascii="Times New Roman" w:cs="Times New Roman" w:eastAsia="Times New Roman" w:hAnsi="Times New Roman"/>
          <w:sz w:val="14"/>
          <w:szCs w:val="14"/>
          <w:color w:val="auto"/>
        </w:rPr>
        <w:t>” in Item 10 for more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Agreements</w:t>
      </w:r>
    </w:p>
    <w:p>
      <w:pPr>
        <w:spacing w:after="0" w:line="20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In connection with the entry into the Business Combination Agreement, certain members of Innventure LLC (the “MSA Lock-Up Parties”) entered into a Member Support Agreement with Learn CW, Innventure, and Holdco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w:t>
      </w:r>
    </w:p>
    <w:p>
      <w:pPr>
        <w:spacing w:after="0" w:line="15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4"/>
          <w:szCs w:val="14"/>
          <w:color w:val="auto"/>
        </w:rPr>
        <w:t>In connection with the entry into the Business Combination Agreement, certain insiders of Innventure entered into lock-up agreements, pursuant to which such persons have agreed to restrictions on the transfer of their shares of Common Stock, subject to certain exceptions, for a period ending upon the earlier of (A) the expiration of one year after the Closing and (B) subsequent to the Closing,</w:t>
      </w:r>
    </w:p>
    <w:p>
      <w:pPr>
        <w:spacing w:after="0" w:line="1" w:lineRule="exact"/>
        <w:rPr>
          <w:sz w:val="20"/>
          <w:szCs w:val="20"/>
          <w:color w:val="auto"/>
        </w:rPr>
      </w:pPr>
    </w:p>
    <w:p>
      <w:pPr>
        <w:ind w:right="40" w:firstLine="5"/>
        <w:spacing w:after="0" w:line="243" w:lineRule="auto"/>
        <w:tabs>
          <w:tab w:leader="none" w:pos="16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shares of Common Stock for cash securities or other property.</w:t>
      </w:r>
    </w:p>
    <w:p>
      <w:pPr>
        <w:spacing w:after="0" w:line="17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4"/>
          <w:szCs w:val="14"/>
          <w:color w:val="auto"/>
        </w:rPr>
        <w:t>In connection with Learn CW’s initial public offering, Learn CW entered into a Letter Agreement (the “2021 Letter Agreement”), dated October 7, 2021, among Learn CW and its officers, directors, director nominees and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Family Relationship</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Mr. Colin Scott (the son of Dr. John Scott, our Chief Strategy Officer) is an employee of Innventure and serves on the Accelsius board of directors. Mr. Colin Scott earned $325 and $216 for the years ended December 31, 2024 and 2023,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Aircraft Time Sharing Agreements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Bridge Financing</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 failure to pay any amount due under the A&amp;R Glockner Bridge Note, such failure will not constitute an event of default unless certain other conditions are met. The Company also agreed to pay the Glockner Lender $1,000 as a loan fee, which was repaid in connection with entry into the Second A&amp;R Glockner Bridge Note. As described above, Mr. Donnally serves as the managing member of the Glockner Lender’s general partner, Bellringer Consulting Group LLC. As of the date hereof, only the $1,000 loan fee has been repaid under the A&amp;R Glockner Bridge Note.</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March 20, 2025, Dr. John Scott agreed to deem as repaid in full and otherwise terminated all loans and other obligations of Innventure LLC to Dr. John Scott under the A&amp;R Scott Bridge Note and any loan documentation executed in connection with the A&amp;R Scott Bridge Note in exchange for (i) Dr. John Scott’s receipt in cash of $195 and (ii) the issuance to Dr. John Scott of 226,334 shares of Series C Preferred Stock on March 24,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Review, Approval or Ratification of Transactions with Related Parties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and Indemnification of Directors and Executive Officers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Innventure has entered into indemnification agreements with each of Innventure’s directors and executive officers, the form of which is attached as an exhibit to this Form 10-K. The indemnification agreements require Innventure to indemnify its directors and executive officers to the fullest extent permitted by Delaware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Innventure has adopted a formal written policy for the review and approval of transactions with related parties. Such policy requires, among other things, that:</w:t>
      </w:r>
    </w:p>
    <w:p>
      <w:pPr>
        <w:spacing w:after="0" w:line="189"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shall review the material facts of all related party transactions;</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5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related party transaction will be ongoing, the Audit Committee may establish guidelines for Innventure’s management to follow in its ongoing dealings with the related party.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following table sets forth the amount of audit fees, audit-related fees, tax fees, and all other fees billed for services by BDO USA, P.C. for the years ended December 31, 2024 and 2023. All audit and non-audit services provided to the Company by the independent registered public accounting firm are pre-approved by the Audit Committee, and the Audit Committee considers the provision of such non-audit services when evaluating the accounting firm’s independence. The Audit Committee pre-approved all services and fees charged by BDO USA, P.C. as the Company’s independent registered public accounting firm to the Company in 2024 after the completion of the Business Combination.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80" w:type="dxa"/>
            <w:vAlign w:val="bottom"/>
            <w:shd w:val="clear" w:color="auto" w:fill="CCEDFF"/>
          </w:tcPr>
          <w:p>
            <w:pPr>
              <w:spacing w:after="0"/>
              <w:rPr>
                <w:sz w:val="15"/>
                <w:szCs w:val="15"/>
                <w:color w:val="auto"/>
              </w:rPr>
            </w:pPr>
          </w:p>
        </w:tc>
        <w:tc>
          <w:tcPr>
            <w:tcW w:w="3700" w:type="dxa"/>
            <w:vAlign w:val="bottom"/>
            <w:shd w:val="clear" w:color="auto" w:fill="CCED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shd w:val="clear" w:color="auto" w:fill="CCEDFF"/>
          </w:tcPr>
          <w:p>
            <w:pPr>
              <w:spacing w:after="0"/>
              <w:rPr>
                <w:sz w:val="15"/>
                <w:szCs w:val="15"/>
                <w:color w:val="auto"/>
              </w:rPr>
            </w:pPr>
          </w:p>
        </w:tc>
        <w:tc>
          <w:tcPr>
            <w:tcW w:w="860" w:type="dxa"/>
            <w:vAlign w:val="bottom"/>
            <w:shd w:val="clear" w:color="auto" w:fill="CCEDFF"/>
          </w:tcPr>
          <w:p>
            <w:pPr>
              <w:spacing w:after="0"/>
              <w:rPr>
                <w:sz w:val="15"/>
                <w:szCs w:val="15"/>
                <w:color w:val="auto"/>
              </w:rPr>
            </w:pPr>
          </w:p>
        </w:tc>
        <w:tc>
          <w:tcPr>
            <w:tcW w:w="2740" w:type="dxa"/>
            <w:vAlign w:val="bottom"/>
            <w:shd w:val="clear" w:color="auto" w:fill="CCEDFF"/>
          </w:tcPr>
          <w:p>
            <w:pPr>
              <w:jc w:val="right"/>
              <w:ind w:right="1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0"/>
        </w:trPr>
        <w:tc>
          <w:tcPr>
            <w:tcW w:w="23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3700" w:type="dxa"/>
            <w:vAlign w:val="bottom"/>
          </w:tcPr>
          <w:p>
            <w:pPr>
              <w:jc w:val="right"/>
              <w:ind w:right="23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981,547</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400,903</w:t>
            </w:r>
          </w:p>
        </w:tc>
      </w:tr>
      <w:tr>
        <w:trPr>
          <w:trHeight w:val="180"/>
        </w:trPr>
        <w:tc>
          <w:tcPr>
            <w:tcW w:w="238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3700" w:type="dxa"/>
            <w:vAlign w:val="bottom"/>
            <w:shd w:val="clear" w:color="auto" w:fill="CCEDFF"/>
          </w:tcPr>
          <w:p>
            <w:pPr>
              <w:spacing w:after="0"/>
              <w:rPr>
                <w:sz w:val="15"/>
                <w:szCs w:val="15"/>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DFF"/>
          </w:tcPr>
          <w:p>
            <w:pPr>
              <w:spacing w:after="0"/>
              <w:rPr>
                <w:sz w:val="15"/>
                <w:szCs w:val="15"/>
                <w:color w:val="auto"/>
              </w:rPr>
            </w:pPr>
          </w:p>
        </w:tc>
        <w:tc>
          <w:tcPr>
            <w:tcW w:w="2740" w:type="dxa"/>
            <w:vAlign w:val="bottom"/>
            <w:shd w:val="clear" w:color="auto" w:fill="CCEDFF"/>
          </w:tcPr>
          <w:p>
            <w:pPr>
              <w:ind w:left="260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37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2740" w:type="dxa"/>
            <w:vAlign w:val="bottom"/>
          </w:tcPr>
          <w:p>
            <w:pPr>
              <w:ind w:left="260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2380" w:type="dxa"/>
            <w:vAlign w:val="bottom"/>
            <w:shd w:val="clear" w:color="auto" w:fill="CCEDFF"/>
          </w:tcPr>
          <w:p>
            <w:pPr>
              <w:ind w:left="20"/>
              <w:spacing w:after="0" w:line="181"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(2)</w:t>
            </w:r>
          </w:p>
        </w:tc>
        <w:tc>
          <w:tcPr>
            <w:tcW w:w="3700" w:type="dxa"/>
            <w:vAlign w:val="bottom"/>
            <w:shd w:val="clear" w:color="auto" w:fill="CCEDFF"/>
          </w:tcPr>
          <w:p>
            <w:pPr>
              <w:spacing w:after="0"/>
              <w:rPr>
                <w:sz w:val="15"/>
                <w:szCs w:val="15"/>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4"/>
                <w:szCs w:val="14"/>
                <w:color w:val="auto"/>
              </w:rPr>
              <w:t>108,387</w:t>
            </w:r>
          </w:p>
        </w:tc>
        <w:tc>
          <w:tcPr>
            <w:tcW w:w="860" w:type="dxa"/>
            <w:vAlign w:val="bottom"/>
            <w:shd w:val="clear" w:color="auto" w:fill="CCEDFF"/>
          </w:tcPr>
          <w:p>
            <w:pPr>
              <w:spacing w:after="0"/>
              <w:rPr>
                <w:sz w:val="15"/>
                <w:szCs w:val="15"/>
                <w:color w:val="auto"/>
              </w:rPr>
            </w:pPr>
          </w:p>
        </w:tc>
        <w:tc>
          <w:tcPr>
            <w:tcW w:w="2740" w:type="dxa"/>
            <w:vAlign w:val="bottom"/>
            <w:shd w:val="clear" w:color="auto" w:fill="CCEDFF"/>
          </w:tcPr>
          <w:p>
            <w:pPr>
              <w:ind w:left="2600"/>
              <w:spacing w:after="0"/>
              <w:rPr>
                <w:sz w:val="20"/>
                <w:szCs w:val="20"/>
                <w:color w:val="auto"/>
              </w:rPr>
            </w:pPr>
            <w:r>
              <w:rPr>
                <w:rFonts w:ascii="Times New Roman" w:cs="Times New Roman" w:eastAsia="Times New Roman" w:hAnsi="Times New Roman"/>
                <w:sz w:val="14"/>
                <w:szCs w:val="14"/>
                <w:color w:val="auto"/>
                <w:w w:val="85"/>
              </w:rPr>
              <w:t>—</w:t>
            </w:r>
          </w:p>
        </w:tc>
      </w:tr>
      <w:tr>
        <w:trPr>
          <w:trHeight w:val="184"/>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3700" w:type="dxa"/>
            <w:vAlign w:val="bottom"/>
          </w:tcPr>
          <w:p>
            <w:pPr>
              <w:jc w:val="right"/>
              <w:ind w:right="23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1,089,934</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400,903</w:t>
            </w:r>
          </w:p>
        </w:tc>
      </w:tr>
    </w:tbl>
    <w:p>
      <w:pPr>
        <w:spacing w:after="0" w:line="244" w:lineRule="exact"/>
        <w:rPr>
          <w:sz w:val="20"/>
          <w:szCs w:val="20"/>
          <w:color w:val="auto"/>
        </w:rPr>
      </w:pPr>
    </w:p>
    <w:p>
      <w:pPr>
        <w:ind w:firstLine="5"/>
        <w:spacing w:after="0" w:line="242" w:lineRule="auto"/>
        <w:tabs>
          <w:tab w:leader="none" w:pos="16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fees for professional services rendered for the audit of the Company’s annual consolidated financial statements and review of the consolidated financial statements included in the Company’s Quarterly Report on Form 10-Q, issuances of comfort letters and consents for securities offerings and for other services that only the Company’s independent registered public accounting firm can reasonably provide.</w:t>
      </w:r>
    </w:p>
    <w:p>
      <w:pPr>
        <w:ind w:left="160" w:hanging="155"/>
        <w:spacing w:after="0"/>
        <w:tabs>
          <w:tab w:leader="none" w:pos="16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fees for all services other than those covered above under “Audit Fees.” No such fees existed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List of documents filed as part of this annual report on Form 10-K:</w:t>
      </w:r>
    </w:p>
    <w:p>
      <w:pPr>
        <w:spacing w:after="0" w:line="170" w:lineRule="exact"/>
        <w:rPr>
          <w:sz w:val="20"/>
          <w:szCs w:val="20"/>
          <w:color w:val="auto"/>
        </w:rPr>
      </w:pPr>
    </w:p>
    <w:p>
      <w:pPr>
        <w:ind w:left="140" w:hanging="135"/>
        <w:spacing w:after="0"/>
        <w:tabs>
          <w:tab w:leader="none" w:pos="1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of the Registrant: See “Index to Consolidated Financial Statements” at “Item 8. Financial Statements and Supplementary Data” herein.</w:t>
      </w:r>
    </w:p>
    <w:p>
      <w:pPr>
        <w:spacing w:after="0" w:line="167" w:lineRule="exact"/>
        <w:rPr>
          <w:rFonts w:ascii="Times New Roman" w:cs="Times New Roman" w:eastAsia="Times New Roman" w:hAnsi="Times New Roman"/>
          <w:sz w:val="14"/>
          <w:szCs w:val="14"/>
          <w:color w:val="auto"/>
        </w:rPr>
      </w:pPr>
    </w:p>
    <w:p>
      <w:pPr>
        <w:ind w:firstLine="5"/>
        <w:spacing w:after="0" w:line="271" w:lineRule="auto"/>
        <w:tabs>
          <w:tab w:leader="none" w:pos="15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All schedules are omitted for the reason that the information is included in the financial statements or the notes thereto or that they are not required or are not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in the following index to exhibits are filed or incorporated by reference as part of this Annual Report on Form 10-K.</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20" w:type="dxa"/>
            <w:vAlign w:val="bottom"/>
            <w:gridSpan w:val="14"/>
          </w:tcPr>
          <w:p>
            <w:pPr>
              <w:ind w:left="138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r>
      <w:tr>
        <w:trPr>
          <w:trHeight w:val="30"/>
        </w:trPr>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50"/>
        </w:trPr>
        <w:tc>
          <w:tcPr>
            <w:tcW w:w="122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460" w:type="dxa"/>
            <w:vAlign w:val="bottom"/>
            <w:tcBorders>
              <w:bottom w:val="single" w:sz="8" w:color="0000FF"/>
            </w:tcBorders>
            <w:gridSpan w:val="10"/>
            <w:shd w:val="clear" w:color="auto" w:fill="CCEEFF"/>
          </w:tcPr>
          <w:p>
            <w:pPr>
              <w:spacing w:after="0" w:line="150"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Business Combination Agreement, dated as of October 24, 2023, by and among Learn SPAC Holdco, Inc., Learn CW Investment Corporation, LCW Merger Sub, Inc.,</w:t>
              </w:r>
            </w:hyperlink>
          </w:p>
        </w:tc>
        <w:tc>
          <w:tcPr>
            <w:tcW w:w="500" w:type="dxa"/>
            <w:vAlign w:val="bottom"/>
            <w:tcBorders>
              <w:bottom w:val="single" w:sz="8" w:color="CCEEFF"/>
            </w:tcBorders>
            <w:gridSpan w:val="8"/>
            <w:shd w:val="clear" w:color="auto" w:fill="CCEEFF"/>
          </w:tcPr>
          <w:p>
            <w:pPr>
              <w:spacing w:after="0"/>
              <w:rPr>
                <w:sz w:val="13"/>
                <w:szCs w:val="13"/>
                <w:color w:val="auto"/>
              </w:rPr>
            </w:pPr>
          </w:p>
        </w:tc>
      </w:tr>
      <w:tr>
        <w:trPr>
          <w:trHeight w:val="150"/>
        </w:trPr>
        <w:tc>
          <w:tcPr>
            <w:tcW w:w="1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600" w:type="dxa"/>
            <w:vAlign w:val="bottom"/>
            <w:tcBorders>
              <w:bottom w:val="single" w:sz="8" w:color="0000FF"/>
            </w:tcBorders>
            <w:gridSpan w:val="11"/>
            <w:shd w:val="clear" w:color="auto" w:fill="CCEEFF"/>
          </w:tcPr>
          <w:p>
            <w:pPr>
              <w:spacing w:after="0" w:line="150"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Innventure LLC and Innventure Merger Sub, LLC (incorporated by reference to Annex A to Innventure, Inc.’s Registration Statement on Form S-4 filed with the SEC on</w:t>
              </w:r>
            </w:hyperlink>
          </w:p>
        </w:tc>
        <w:tc>
          <w:tcPr>
            <w:tcW w:w="360" w:type="dxa"/>
            <w:vAlign w:val="bottom"/>
            <w:tcBorders>
              <w:bottom w:val="single" w:sz="8" w:color="CCEEFF"/>
            </w:tcBorders>
            <w:gridSpan w:val="7"/>
            <w:shd w:val="clear" w:color="auto" w:fill="CCEEFF"/>
          </w:tcPr>
          <w:p>
            <w:pPr>
              <w:spacing w:after="0"/>
              <w:rPr>
                <w:sz w:val="13"/>
                <w:szCs w:val="13"/>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0000FF"/>
            </w:tcBorders>
            <w:shd w:val="clear" w:color="auto" w:fill="CCEEFF"/>
          </w:tcPr>
          <w:p>
            <w:pPr>
              <w:spacing w:after="0" w:line="150"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September 6, 2024).</w:t>
              </w:r>
            </w:hyperlink>
          </w:p>
        </w:tc>
        <w:tc>
          <w:tcPr>
            <w:tcW w:w="8800" w:type="dxa"/>
            <w:vAlign w:val="bottom"/>
            <w:tcBorders>
              <w:bottom w:val="single" w:sz="8" w:color="CCEEFF"/>
            </w:tcBorders>
            <w:gridSpan w:val="17"/>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8"/>
          </w:tcPr>
          <w:p>
            <w:pPr>
              <w:spacing w:after="0" w:line="15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Amended and Restated Certificate of Incorporation of Innventure, Inc., filed with the Secretary of State of Delaware on October 2, 2024 (incorporated by reference to Exhibit</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Innventure Inc.’s Current Report on Form 8-K filed with the SEC on October 9, 2024).</w:t>
              </w:r>
            </w:hyperlink>
          </w:p>
        </w:tc>
        <w:tc>
          <w:tcPr>
            <w:tcW w:w="120" w:type="dxa"/>
            <w:vAlign w:val="bottom"/>
            <w:gridSpan w:val="3"/>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By-laws of Innventure, Inc. (incorporated by reference to Exhibit 3.2 to Innventure Inc.’s Current Report on Form 8-K filed with the SEC on October 9,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7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Certificate of Designation of Series B Preferred Stock, dated October 2, 2024, of Innventure, Inc. (incorporated by reference to Exhibit 3.3 to Innventure Inc.’s Current Report</w:t>
              </w:r>
            </w:hyperlink>
          </w:p>
        </w:tc>
        <w:tc>
          <w:tcPr>
            <w:tcW w:w="80" w:type="dxa"/>
            <w:vAlign w:val="bottom"/>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8"/>
          </w:tcPr>
          <w:p>
            <w:pPr>
              <w:spacing w:after="0" w:line="150"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on Form 8-K filed with the SEC on October 9,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Certificate of Designation of Series C Preferred Stock, dated March 24, 2025, of Innventure, Inc. (incorporated by reference to Exhibit 3.1 to Innventure Inc.’s Current Report</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on Form 8-K filed with the SEC on March 25, 2025).</w:t>
              </w:r>
            </w:hyperlink>
          </w:p>
        </w:tc>
        <w:tc>
          <w:tcPr>
            <w:tcW w:w="10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8"/>
          </w:tcPr>
          <w:p>
            <w:pPr>
              <w:spacing w:after="0" w:line="159" w:lineRule="exact"/>
              <w:rPr>
                <w:sz w:val="20"/>
                <w:szCs w:val="20"/>
                <w:color w:val="auto"/>
              </w:rPr>
            </w:pPr>
            <w:r>
              <w:rPr>
                <w:rFonts w:ascii="Times New Roman" w:cs="Times New Roman" w:eastAsia="Times New Roman" w:hAnsi="Times New Roman"/>
                <w:sz w:val="14"/>
                <w:szCs w:val="14"/>
                <w:color w:val="0000FF"/>
              </w:rPr>
              <w:t>Description of Innventure, Inc.’s Securities Registered Pursuant to Section 12 of the Securities Exchange Act of 1934.</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Form of Innventure LLC Series 1 Promissory Note (incorporated by reference to Exhibit 4.3 to Innventure, Inc.’s Registration Statement on Form S-4 filed with the SEC on</w:t>
              </w:r>
            </w:hyperlink>
          </w:p>
        </w:tc>
      </w:tr>
      <w:tr>
        <w:trPr>
          <w:trHeight w:val="183"/>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0000FF"/>
              <w:bottom w:val="single" w:sz="8" w:color="0000FF"/>
            </w:tcBorders>
            <w:shd w:val="clear" w:color="auto" w:fill="CCEEFF"/>
          </w:tcPr>
          <w:p>
            <w:pPr>
              <w:spacing w:after="0" w:line="150"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September 6, 2024).</w:t>
              </w:r>
            </w:hyperlink>
          </w:p>
        </w:tc>
        <w:tc>
          <w:tcPr>
            <w:tcW w:w="8580" w:type="dxa"/>
            <w:vAlign w:val="bottom"/>
            <w:tcBorders>
              <w:top w:val="single" w:sz="8" w:color="0000FF"/>
              <w:bottom w:val="single" w:sz="8" w:color="CCEEFF"/>
            </w:tcBorders>
            <w:gridSpan w:val="12"/>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5"/>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bottom w:val="single" w:sz="8" w:color="0000FF"/>
            </w:tcBorders>
            <w:gridSpan w:val="14"/>
          </w:tcPr>
          <w:p>
            <w:pPr>
              <w:spacing w:after="0" w:line="159"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Form of Accelsius Holdings LLC Convertible Promissory Note (incorporated by reference to Exhibit 4.4 to Innventure, Inc.’s Registration Statement on Form S-4 filed with</w:t>
              </w:r>
            </w:hyperlink>
          </w:p>
        </w:tc>
        <w:tc>
          <w:tcPr>
            <w:tcW w:w="180" w:type="dxa"/>
            <w:vAlign w:val="bottom"/>
            <w:gridSpan w:val="4"/>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8"/>
          </w:tcPr>
          <w:p>
            <w:pPr>
              <w:spacing w:after="0" w:line="150"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Secured Convertible Note and Warrant Purchase Agreement, dated as of June 3, 2021, by and among Innventus ESG Fund I, L.P., AeroFlexx, LLC, and the Investors party</w:t>
              </w:r>
            </w:hyperlink>
          </w:p>
        </w:tc>
      </w:tr>
      <w:tr>
        <w:trPr>
          <w:trHeight w:val="183"/>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440" w:type="dxa"/>
            <w:vAlign w:val="bottom"/>
            <w:tcBorders>
              <w:top w:val="single" w:sz="8" w:color="0000FF"/>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thereto (incorporated by reference to Exhibit 4.5 to Innventure, Inc.’s Registration Statement on Form S-4 filed with the SEC on September 6, 2024).</w:t>
              </w:r>
            </w:hyperlink>
          </w:p>
        </w:tc>
        <w:tc>
          <w:tcPr>
            <w:tcW w:w="124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6"/>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8"/>
          </w:tcPr>
          <w:p>
            <w:pPr>
              <w:spacing w:after="0" w:line="159"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Amended and Restated Secured Convertible Promissory Note and Warrant Purchase Agreement, dated as of July 31, 2021, by and among Innventus ESG Fund I, L.P.,</w:t>
              </w:r>
            </w:hyperlink>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260" w:type="dxa"/>
            <w:vAlign w:val="bottom"/>
            <w:gridSpan w:val="8"/>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AeroFlexx, LLC, and the Investors party thereto (incorporated by reference to Exhibit 4.6 to Innventure, Inc.’s Registration Statement on Form S-4 filed with the SEC on</w:t>
              </w:r>
            </w:hyperlink>
          </w:p>
        </w:tc>
        <w:tc>
          <w:tcPr>
            <w:tcW w:w="360" w:type="dxa"/>
            <w:vAlign w:val="bottom"/>
            <w:gridSpan w:val="7"/>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September 6, 2024).</w:t>
              </w:r>
            </w:hyperlink>
          </w:p>
        </w:tc>
        <w:tc>
          <w:tcPr>
            <w:tcW w:w="8800" w:type="dxa"/>
            <w:vAlign w:val="bottom"/>
            <w:gridSpan w:val="17"/>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0" w:type="dxa"/>
            <w:vAlign w:val="bottom"/>
            <w:gridSpan w:val="20"/>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r>
      <w:tr>
        <w:trPr>
          <w:trHeight w:val="30"/>
        </w:trPr>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50"/>
        </w:trPr>
        <w:tc>
          <w:tcPr>
            <w:tcW w:w="122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20" w:type="dxa"/>
            <w:vAlign w:val="bottom"/>
            <w:tcBorders>
              <w:bottom w:val="single" w:sz="8" w:color="0000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Form of Innventure Class B Warrant Cashless Exercise Description and Acknowledgment Letter (incorporated by reference to Exhibit 4.8 to Innventure, Inc.’s Registration</w:t>
              </w:r>
            </w:hyperlink>
          </w:p>
        </w:tc>
        <w:tc>
          <w:tcPr>
            <w:tcW w:w="240" w:type="dxa"/>
            <w:vAlign w:val="bottom"/>
            <w:tcBorders>
              <w:bottom w:val="single" w:sz="8" w:color="CCEEFF"/>
            </w:tcBorders>
            <w:gridSpan w:val="7"/>
            <w:shd w:val="clear" w:color="auto" w:fill="CCEEFF"/>
          </w:tcPr>
          <w:p>
            <w:pPr>
              <w:spacing w:after="0"/>
              <w:rPr>
                <w:sz w:val="13"/>
                <w:szCs w:val="13"/>
                <w:color w:val="auto"/>
              </w:rPr>
            </w:pPr>
          </w:p>
        </w:tc>
      </w:tr>
      <w:tr>
        <w:trPr>
          <w:trHeight w:val="150"/>
        </w:trPr>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Statement on Form S-4 filed with the SEC on September 6,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9"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Warrant to Acquire Securities of Innventure, Inc., dated October 22, 2024, issued to WTI Fund X, LLC (incorporated by reference to Exhibit 4.1 to Innventure, Inc.’s Current</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0"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Report on Form 8-K dated October 23, 2024).</w:t>
              </w:r>
            </w:hyperlink>
          </w:p>
        </w:tc>
        <w:tc>
          <w:tcPr>
            <w:tcW w:w="140" w:type="dxa"/>
            <w:vAlign w:val="bottom"/>
            <w:gridSpan w:val="4"/>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880" w:type="dxa"/>
            <w:vAlign w:val="bottom"/>
            <w:tcBorders>
              <w:bottom w:val="single" w:sz="8" w:color="0000FF"/>
            </w:tcBorders>
            <w:gridSpan w:val="22"/>
            <w:shd w:val="clear" w:color="auto" w:fill="CCEEFF"/>
          </w:tcPr>
          <w:p>
            <w:pPr>
              <w:spacing w:after="0" w:line="15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Warrant to Acquire Securities of Innventure, Inc., dated October 22, 2024, issued to WTI Fund XI, LLC (incorporated by reference to Exhibit 4.2 to Innventure, Inc.’s Current</w:t>
              </w:r>
            </w:hyperlink>
          </w:p>
        </w:tc>
        <w:tc>
          <w:tcPr>
            <w:tcW w:w="80" w:type="dxa"/>
            <w:vAlign w:val="bottom"/>
            <w:tcBorders>
              <w:bottom w:val="single" w:sz="8" w:color="CCEEFF"/>
            </w:tcBorders>
            <w:gridSpan w:val="2"/>
            <w:shd w:val="clear" w:color="auto" w:fill="CCEEFF"/>
          </w:tcPr>
          <w:p>
            <w:pPr>
              <w:spacing w:after="0"/>
              <w:rPr>
                <w:sz w:val="13"/>
                <w:szCs w:val="13"/>
                <w:color w:val="auto"/>
              </w:rPr>
            </w:pPr>
          </w:p>
        </w:tc>
      </w:tr>
      <w:tr>
        <w:trPr>
          <w:trHeight w:val="150"/>
        </w:trPr>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0"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Report on Form 8-K dated October 23,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 xml:space="preserve">Form of Convertible Debenture (incorporated by reference to Exhibit 4.1 to Innventure, </w:t>
              </w:r>
            </w:hyperlink>
            <w:r>
              <w:rPr>
                <w:rFonts w:ascii="Times New Roman" w:cs="Times New Roman" w:eastAsia="Times New Roman" w:hAnsi="Times New Roman"/>
                <w:sz w:val="14"/>
                <w:szCs w:val="14"/>
                <w:color w:val="0000FF"/>
              </w:rPr>
              <w:t xml:space="preserve">Inc.’s </w:t>
            </w:r>
            <w:hyperlink r:id="rId206">
              <w:r>
                <w:rPr>
                  <w:rFonts w:ascii="Times New Roman" w:cs="Times New Roman" w:eastAsia="Times New Roman" w:hAnsi="Times New Roman"/>
                  <w:sz w:val="14"/>
                  <w:szCs w:val="14"/>
                  <w:color w:val="0000FF"/>
                </w:rPr>
                <w:t>Current Report on Form 8-K dated March 26, 2025).</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Form of Warrant to Acquire Securities of Innventure, Inc., to be issued to WTI Fund X, LLC (incorporated by reference to Exhibit 4.2 to Innventure, Inc.’s Current Report on</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1"/>
            <w:shd w:val="clear" w:color="auto" w:fill="CCEEFF"/>
          </w:tcPr>
          <w:p>
            <w:pPr>
              <w:spacing w:after="0" w:line="150"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Form 8-K dated March 26, 2025).</w:t>
              </w:r>
            </w:hyperlink>
          </w:p>
        </w:tc>
        <w:tc>
          <w:tcPr>
            <w:tcW w:w="12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bottom w:val="single" w:sz="8" w:color="0000FF"/>
            </w:tcBorders>
            <w:gridSpan w:val="23"/>
          </w:tcPr>
          <w:p>
            <w:pPr>
              <w:spacing w:after="0" w:line="159"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of Warrant to Acquire Securities of Innventure, Inc., to be issued to WTI Fund XI, LLC (incorporated by reference to Exhibit 4.3 to Innventure, Inc.’s Current Report on</w:t>
              </w:r>
            </w:hyperlink>
          </w:p>
        </w:tc>
        <w:tc>
          <w:tcPr>
            <w:tcW w:w="60" w:type="dxa"/>
            <w:vAlign w:val="bottom"/>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0"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8-K dated March 26, 2025).</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Registration and Shareholder Rights Agreement, dated October 12, 2021, by and among Learn CW Investment Corporation, the Sponsor and certain other security holders</w:t>
              </w:r>
            </w:hyperlink>
          </w:p>
        </w:tc>
      </w:tr>
      <w:tr>
        <w:trPr>
          <w:trHeight w:val="183"/>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500" w:type="dxa"/>
            <w:vAlign w:val="bottom"/>
            <w:tcBorders>
              <w:top w:val="single" w:sz="8" w:color="0000FF"/>
              <w:bottom w:val="single" w:sz="8" w:color="0000FF"/>
            </w:tcBorders>
            <w:gridSpan w:val="13"/>
            <w:shd w:val="clear" w:color="auto" w:fill="CCEEFF"/>
          </w:tcPr>
          <w:p>
            <w:pPr>
              <w:spacing w:after="0" w:line="150"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named therein (incorporated by reference to Exhibit 10.4 to Learn CW Investment Corporation’s Current Report on Form 8-K filed with the SEC on October 14, 2021).</w:t>
              </w:r>
            </w:hyperlink>
          </w:p>
        </w:tc>
        <w:tc>
          <w:tcPr>
            <w:tcW w:w="16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9"/>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Offer Letter, dated September 7, 2023, between David Yablunosky and Innventure LLC (incorporated by reference to Exhibit 10.8 to Innventure, Inc.’s Registration Statement</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0"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on Form S-4 filed with the SEC on September 6, 2024).</w:t>
              </w:r>
            </w:hyperlink>
          </w:p>
        </w:tc>
        <w:tc>
          <w:tcPr>
            <w:tcW w:w="80" w:type="dxa"/>
            <w:vAlign w:val="bottom"/>
            <w:gridSpan w:val="2"/>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Member Support Agreement, dated October 24, 2023, by and among Learn CW Investment Corporation, Learn SPAC Holdco, Inc., Innventure LLC and the Innventure</w:t>
              </w:r>
            </w:hyperlink>
          </w:p>
        </w:tc>
      </w:tr>
      <w:tr>
        <w:trPr>
          <w:trHeight w:val="183"/>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20" w:type="dxa"/>
            <w:vAlign w:val="bottom"/>
            <w:tcBorders>
              <w:top w:val="single" w:sz="8" w:color="0000FF"/>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Members party thereto (incorporated by reference to Annex D to Innventure, Inc.’s Registration Statement on Form S-4 filed with the SEC on September 6, 2024).</w:t>
              </w:r>
            </w:hyperlink>
          </w:p>
        </w:tc>
        <w:tc>
          <w:tcPr>
            <w:tcW w:w="28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gridSpan w:val="11"/>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Class D Preferred Unit Purchase Agreement, by and between Innventus ESG, AeroFlexx, and the Investors party thereto, dated as of November 10, 2021 (incorporated by</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4"/>
          </w:tcPr>
          <w:p>
            <w:pPr>
              <w:spacing w:after="0" w:line="150"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reference to Exhibit 10.12 to Innventure, Inc.’s Registration Statement on Form S-4 filed with the SEC on September 6, 2024).</w:t>
              </w:r>
            </w:hyperlink>
          </w:p>
        </w:tc>
        <w:tc>
          <w:tcPr>
            <w:tcW w:w="320" w:type="dxa"/>
            <w:vAlign w:val="bottom"/>
            <w:gridSpan w:val="10"/>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80" w:type="dxa"/>
            <w:vAlign w:val="bottom"/>
            <w:tcBorders>
              <w:bottom w:val="single" w:sz="8" w:color="0000FF"/>
            </w:tcBorders>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Series I Convertible Note Purchase Agreement, dated as of August 18, 2022, by and among Accelsius, Innventus ESG Fund I L.P. and the other parties thereto (incorporated</w:t>
              </w:r>
            </w:hyperlink>
          </w:p>
        </w:tc>
        <w:tc>
          <w:tcPr>
            <w:tcW w:w="180" w:type="dxa"/>
            <w:vAlign w:val="bottom"/>
            <w:tcBorders>
              <w:bottom w:val="single" w:sz="8" w:color="CCEEFF"/>
            </w:tcBorders>
            <w:gridSpan w:val="6"/>
            <w:shd w:val="clear" w:color="auto" w:fill="CCEEFF"/>
          </w:tcPr>
          <w:p>
            <w:pPr>
              <w:spacing w:after="0"/>
              <w:rPr>
                <w:sz w:val="13"/>
                <w:szCs w:val="13"/>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FF"/>
            </w:tcBorders>
            <w:gridSpan w:val="7"/>
            <w:shd w:val="clear" w:color="auto" w:fill="CCEEFF"/>
          </w:tcPr>
          <w:p>
            <w:pPr>
              <w:spacing w:after="0" w:line="150"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by reference to Exhibit 10.13 to Innventure, Inc.’s Registration Statement on Form S-4 filed with the SEC on September 6, 2024).</w:t>
              </w:r>
            </w:hyperlink>
          </w:p>
        </w:tc>
        <w:tc>
          <w:tcPr>
            <w:tcW w:w="2600" w:type="dxa"/>
            <w:vAlign w:val="bottom"/>
            <w:tcBorders>
              <w:bottom w:val="single" w:sz="8" w:color="CCEEFF"/>
            </w:tcBorders>
            <w:gridSpan w:val="17"/>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bottom w:val="single" w:sz="8" w:color="0000FF"/>
            </w:tcBorders>
            <w:gridSpan w:val="16"/>
          </w:tcPr>
          <w:p>
            <w:pPr>
              <w:spacing w:after="0" w:line="15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Amended and Restated Series I Convertible Note Purchase Agreement, dated as of June 2, 2023, by and among Accelsius, Innventus ESG Fund I L.P. and the other parties</w:t>
              </w:r>
            </w:hyperlink>
          </w:p>
        </w:tc>
        <w:tc>
          <w:tcPr>
            <w:tcW w:w="280" w:type="dxa"/>
            <w:vAlign w:val="bottom"/>
            <w:gridSpan w:val="8"/>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0"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thereto (incorporated by reference to Exhibit 10.14 to Innventure, Inc.’s Registration Statement on Form S-4 filed with 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Class A Series 2 Unit Purchase Agreement, dated as of July 19, 2022, by and among Innventus ESG Fund I, L.P., Accelsius Holdings LLC, and the Investors party thereto</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14"/>
            <w:shd w:val="clear" w:color="auto" w:fill="CCEEFF"/>
          </w:tcPr>
          <w:p>
            <w:pPr>
              <w:spacing w:after="0" w:line="150"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(incorporated by reference to Exhibit 10.15 to Innventure, Inc.’s Registration Statement on Form S-4 filed with the SEC on September 6, 2024).</w:t>
              </w:r>
            </w:hyperlink>
          </w:p>
        </w:tc>
        <w:tc>
          <w:tcPr>
            <w:tcW w:w="320" w:type="dxa"/>
            <w:vAlign w:val="bottom"/>
            <w:tcBorders>
              <w:top w:val="single" w:sz="8" w:color="CCEEFF"/>
            </w:tcBorders>
            <w:gridSpan w:val="10"/>
            <w:shd w:val="clear" w:color="auto" w:fill="CCEEFF"/>
          </w:tcPr>
          <w:p>
            <w:pPr>
              <w:spacing w:after="0"/>
              <w:rPr>
                <w:sz w:val="13"/>
                <w:szCs w:val="13"/>
                <w:color w:val="auto"/>
              </w:rPr>
            </w:pP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4"/>
          </w:tcPr>
          <w:p>
            <w:pPr>
              <w:spacing w:after="0" w:line="15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Letter Agreement, dated October 7, 2021, among Learn CW Investment Corporation and its officers, directors, director nominees and the Sponsor (incorporated by reference</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to Exhibit 10.1 to Learn CW Investment Corporation's Current Report on Form 8-K filed with the SEC on October 14, 2021).</w:t>
              </w:r>
            </w:hyperlink>
          </w:p>
        </w:tc>
        <w:tc>
          <w:tcPr>
            <w:tcW w:w="160" w:type="dxa"/>
            <w:vAlign w:val="bottom"/>
            <w:gridSpan w:val="5"/>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3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Contractor Agreement for Services, effective November 16, 2023, by and between Innventure LLC and Sugar Grove Ventures, LLC.</w:t>
            </w: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0" w:type="dxa"/>
            <w:vAlign w:val="bottom"/>
            <w:gridSpan w:val="24"/>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r>
      <w:tr>
        <w:trPr>
          <w:trHeight w:val="30"/>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50"/>
        </w:trPr>
        <w:tc>
          <w:tcPr>
            <w:tcW w:w="12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bottom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Employment Agreement, dated as of March 5, 2024, by and between Innventure LLC and Suzanne Niemeyer (incorporated by reference to Exhibit 10.24 to Innventure, Inc.’s</w:t>
              </w:r>
            </w:hyperlink>
          </w:p>
        </w:tc>
        <w:tc>
          <w:tcPr>
            <w:tcW w:w="100" w:type="dxa"/>
            <w:vAlign w:val="bottom"/>
            <w:gridSpan w:val="4"/>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Registration Statement on Form S-4 filed with 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00" w:type="dxa"/>
            <w:vAlign w:val="bottom"/>
            <w:tcBorders>
              <w:bottom w:val="single" w:sz="8" w:color="0000FF"/>
            </w:tcBorders>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Management Services Agreement, dated January 22, 2021, by and between Innventure LLC and L1FE Management Limited (incorporated by reference to Exhibit 10.25 to</w:t>
              </w:r>
            </w:hyperlink>
          </w:p>
        </w:tc>
        <w:tc>
          <w:tcPr>
            <w:tcW w:w="260" w:type="dxa"/>
            <w:vAlign w:val="bottom"/>
            <w:tcBorders>
              <w:bottom w:val="single" w:sz="8" w:color="CCEEFF"/>
            </w:tcBorders>
            <w:gridSpan w:val="6"/>
            <w:shd w:val="clear" w:color="auto" w:fill="CCEEFF"/>
          </w:tcPr>
          <w:p>
            <w:pPr>
              <w:spacing w:after="0"/>
              <w:rPr>
                <w:sz w:val="13"/>
                <w:szCs w:val="13"/>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0000FF"/>
            </w:tcBorders>
            <w:gridSpan w:val="3"/>
            <w:shd w:val="clear" w:color="auto" w:fill="CCEEFF"/>
          </w:tcPr>
          <w:p>
            <w:pPr>
              <w:spacing w:after="0" w:line="150" w:lineRule="exact"/>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Innventure, Inc.’s Registration Statement on Form S-4 filed with the SEC on September 6, 2024).</w:t>
              </w:r>
            </w:hyperlink>
          </w:p>
        </w:tc>
        <w:tc>
          <w:tcPr>
            <w:tcW w:w="444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9" w:lineRule="exact"/>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Amendment to Management Services Agreement, dated October 1, 2021, by and between Innventure LLC and L1FE Management Limited (incorporated by reference to</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Exhibit 10.26 to Innventure, Inc.’s Registration Statement on Form S-4 filed with the SEC on September 6, 2024).</w:t>
              </w:r>
            </w:hyperlink>
          </w:p>
        </w:tc>
        <w:tc>
          <w:tcPr>
            <w:tcW w:w="400" w:type="dxa"/>
            <w:vAlign w:val="bottom"/>
            <w:gridSpan w:val="10"/>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10.12</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660" w:type="dxa"/>
            <w:vAlign w:val="bottom"/>
            <w:tcBorders>
              <w:bottom w:val="single" w:sz="8" w:color="0000FF"/>
            </w:tcBorders>
            <w:gridSpan w:val="18"/>
            <w:shd w:val="clear" w:color="auto" w:fill="CCEEFF"/>
          </w:tcPr>
          <w:p>
            <w:pPr>
              <w:spacing w:after="0" w:line="159" w:lineRule="exact"/>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Summary of the Statement of Work, effective as of April 1, 2018, between Innventure LLC and Corporate Development Group LLC (incorporated by reference to Exhibit</w:t>
              </w:r>
            </w:hyperlink>
          </w:p>
        </w:tc>
        <w:tc>
          <w:tcPr>
            <w:tcW w:w="300" w:type="dxa"/>
            <w:vAlign w:val="bottom"/>
            <w:tcBorders>
              <w:bottom w:val="single" w:sz="8" w:color="CCEEFF"/>
            </w:tcBorders>
            <w:gridSpan w:val="7"/>
            <w:shd w:val="clear" w:color="auto" w:fill="CCEEFF"/>
          </w:tcPr>
          <w:p>
            <w:pPr>
              <w:spacing w:after="0"/>
              <w:rPr>
                <w:sz w:val="13"/>
                <w:szCs w:val="13"/>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20" w:type="dxa"/>
            <w:vAlign w:val="bottom"/>
            <w:tcBorders>
              <w:bottom w:val="single" w:sz="8" w:color="0000FF"/>
            </w:tcBorders>
            <w:gridSpan w:val="4"/>
            <w:shd w:val="clear" w:color="auto" w:fill="CCEEFF"/>
          </w:tcPr>
          <w:p>
            <w:pPr>
              <w:spacing w:after="0" w:line="150" w:lineRule="exact"/>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r>
                <w:rPr>
                  <w:rFonts w:ascii="Times New Roman" w:cs="Times New Roman" w:eastAsia="Times New Roman" w:hAnsi="Times New Roman"/>
                  <w:sz w:val="14"/>
                  <w:szCs w:val="14"/>
                  <w:color w:val="0000FF"/>
                </w:rPr>
                <w:t xml:space="preserve"> to Innventure, Inc.’s Registration Statement on Form S-4 filed with the SEC on September 6, 2024).</w:t>
              </w:r>
            </w:hyperlink>
          </w:p>
        </w:tc>
        <w:tc>
          <w:tcPr>
            <w:tcW w:w="3940" w:type="dxa"/>
            <w:vAlign w:val="bottom"/>
            <w:tcBorders>
              <w:bottom w:val="single" w:sz="8" w:color="CCEEFF"/>
            </w:tcBorders>
            <w:gridSpan w:val="21"/>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bottom w:val="single" w:sz="8" w:color="0000FF"/>
            </w:tcBorders>
            <w:gridSpan w:val="22"/>
          </w:tcPr>
          <w:p>
            <w:pPr>
              <w:spacing w:after="0" w:line="159" w:lineRule="exact"/>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Amended &amp; Restated Promissory Note, dated December 29, 2023, issued by Learn CW Investment Corporation in favor of Sponsor (incorporated by reference to Exhibit 10.1</w:t>
              </w:r>
            </w:hyperlink>
          </w:p>
        </w:tc>
        <w:tc>
          <w:tcPr>
            <w:tcW w:w="60" w:type="dxa"/>
            <w:vAlign w:val="bottom"/>
            <w:gridSpan w:val="3"/>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to Learn CW Investment Corporation's Current Report on Form 8-K filed with the SEC on January 3,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5"/>
            <w:shd w:val="clear" w:color="auto" w:fill="CCEEFF"/>
          </w:tcPr>
          <w:p>
            <w:pPr>
              <w:spacing w:after="0" w:line="159"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Second Amended &amp; Restated Promissory Note, dated March 19, 2024, issued by Learn CW Investment Corporation in favor of Sponsor (incorporated by reference to Exhibit</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0"/>
            <w:shd w:val="clear" w:color="auto" w:fill="CCEEFF"/>
          </w:tcPr>
          <w:p>
            <w:pPr>
              <w:spacing w:after="0" w:line="150"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Learn CW Investment Corporation’s Current Report on Form 8-K filed with the SEC on March 25, 2024).</w:t>
              </w:r>
            </w:hyperlink>
          </w:p>
        </w:tc>
        <w:tc>
          <w:tcPr>
            <w:tcW w:w="120" w:type="dxa"/>
            <w:vAlign w:val="bottom"/>
            <w:tcBorders>
              <w:top w:val="single" w:sz="8" w:color="CCEEFF"/>
            </w:tcBorders>
            <w:gridSpan w:val="5"/>
            <w:shd w:val="clear" w:color="auto" w:fill="CCEEFF"/>
          </w:tcPr>
          <w:p>
            <w:pPr>
              <w:spacing w:after="0"/>
              <w:rPr>
                <w:sz w:val="13"/>
                <w:szCs w:val="13"/>
                <w:color w:val="auto"/>
              </w:rPr>
            </w:pP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bottom w:val="single" w:sz="8" w:color="0000FF"/>
            </w:tcBorders>
            <w:gridSpan w:val="13"/>
          </w:tcPr>
          <w:p>
            <w:pPr>
              <w:spacing w:after="0" w:line="159"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Patent Purchase Agreement, dated May 27, 2022, between Nokia Technologies, OY, Nokia Solutions and Networks, OY, and Accelsius Holdings LLC (incorporated by</w:t>
              </w:r>
            </w:hyperlink>
          </w:p>
        </w:tc>
        <w:tc>
          <w:tcPr>
            <w:tcW w:w="460" w:type="dxa"/>
            <w:vAlign w:val="bottom"/>
            <w:gridSpan w:val="12"/>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reference to Exhibit 10.32 to Innventure, Inc.’s Registration Statement on Form S-4 filed with 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300" w:type="dxa"/>
            <w:vAlign w:val="bottom"/>
            <w:tcBorders>
              <w:bottom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10.16**^†</w:t>
            </w:r>
          </w:p>
        </w:tc>
        <w:tc>
          <w:tcPr>
            <w:tcW w:w="20" w:type="dxa"/>
            <w:vAlign w:val="bottom"/>
            <w:tcBorders>
              <w:bottom w:val="single" w:sz="8" w:color="CCEEFF"/>
            </w:tcBorders>
            <w:shd w:val="clear" w:color="auto" w:fill="CCEEFF"/>
          </w:tcPr>
          <w:p>
            <w:pPr>
              <w:spacing w:after="0"/>
              <w:rPr>
                <w:sz w:val="13"/>
                <w:szCs w:val="13"/>
                <w:color w:val="auto"/>
              </w:rPr>
            </w:pPr>
          </w:p>
        </w:tc>
        <w:tc>
          <w:tcPr>
            <w:tcW w:w="9640" w:type="dxa"/>
            <w:vAlign w:val="bottom"/>
            <w:tcBorders>
              <w:bottom w:val="single" w:sz="8" w:color="0000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Technology License and Know-How Agreement, dated May 27, 2022, between Accelsius Holdings LLC, Nokia Technologies Oy, Nokia Solutions and Networks Oy, and</w:t>
              </w:r>
            </w:hyperlink>
          </w:p>
        </w:tc>
        <w:tc>
          <w:tcPr>
            <w:tcW w:w="320" w:type="dxa"/>
            <w:vAlign w:val="bottom"/>
            <w:tcBorders>
              <w:bottom w:val="single" w:sz="8" w:color="CCEEFF"/>
            </w:tcBorders>
            <w:gridSpan w:val="8"/>
            <w:shd w:val="clear" w:color="auto" w:fill="CCEEFF"/>
          </w:tcPr>
          <w:p>
            <w:pPr>
              <w:spacing w:after="0"/>
              <w:rPr>
                <w:sz w:val="13"/>
                <w:szCs w:val="13"/>
                <w:color w:val="auto"/>
              </w:rPr>
            </w:pPr>
          </w:p>
        </w:tc>
      </w:tr>
      <w:tr>
        <w:trPr>
          <w:trHeight w:val="183"/>
        </w:trPr>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60" w:type="dxa"/>
            <w:vAlign w:val="bottom"/>
            <w:gridSpan w:val="25"/>
            <w:shd w:val="clear" w:color="auto" w:fill="CCEEFF"/>
          </w:tcPr>
          <w:p>
            <w:pPr>
              <w:spacing w:after="0" w:line="150"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Nokia of America Corporation (incorporated by reference to Exhibit 10.33 to Innventure, Inc.’s Registration Statement on Form S-4 filed with the SEC on September 6, 2024).</w:t>
              </w:r>
            </w:hyperlink>
          </w:p>
        </w:tc>
      </w:tr>
      <w:tr>
        <w:trPr>
          <w:trHeight w:val="159"/>
        </w:trPr>
        <w:tc>
          <w:tcPr>
            <w:tcW w:w="122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10.17</w:t>
            </w: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9620" w:type="dxa"/>
            <w:vAlign w:val="bottom"/>
            <w:tcBorders>
              <w:top w:val="single" w:sz="8" w:color="0000FF"/>
              <w:bottom w:val="single" w:sz="8" w:color="0000FF"/>
            </w:tcBorders>
            <w:gridSpan w:val="16"/>
          </w:tcPr>
          <w:p>
            <w:pPr>
              <w:spacing w:after="0" w:line="159"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Patent and Know How License Agreement, dated February 15, 2018, between Air Assist LLC and The Procter &amp; Gamble Company (incorporated by reference to Exhibit</w:t>
              </w:r>
            </w:hyperlink>
          </w:p>
        </w:tc>
        <w:tc>
          <w:tcPr>
            <w:tcW w:w="300" w:type="dxa"/>
            <w:vAlign w:val="bottom"/>
            <w:tcBorders>
              <w:top w:val="single" w:sz="8" w:color="0000FF"/>
            </w:tcBorders>
            <w:gridSpan w:val="7"/>
          </w:tcPr>
          <w:p>
            <w:pPr>
              <w:spacing w:after="0"/>
              <w:rPr>
                <w:sz w:val="13"/>
                <w:szCs w:val="13"/>
                <w:color w:val="auto"/>
              </w:rPr>
            </w:pPr>
          </w:p>
        </w:tc>
        <w:tc>
          <w:tcPr>
            <w:tcW w:w="40" w:type="dxa"/>
            <w:vAlign w:val="bottom"/>
            <w:tcBorders>
              <w:top w:val="single" w:sz="8" w:color="CCEEFF"/>
            </w:tcBorders>
            <w:gridSpan w:val="2"/>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34</w:t>
              </w:r>
              <w:r>
                <w:rPr>
                  <w:rFonts w:ascii="Times New Roman" w:cs="Times New Roman" w:eastAsia="Times New Roman" w:hAnsi="Times New Roman"/>
                  <w:sz w:val="14"/>
                  <w:szCs w:val="14"/>
                  <w:color w:val="0000FF"/>
                </w:rPr>
                <w:t xml:space="preserve"> to Innventure, Inc.’s Registration Statement on Form S-4 filed with 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10.18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540" w:type="dxa"/>
            <w:vAlign w:val="bottom"/>
            <w:tcBorders>
              <w:bottom w:val="single" w:sz="8" w:color="0000FF"/>
            </w:tcBorders>
            <w:gridSpan w:val="14"/>
            <w:shd w:val="clear" w:color="auto" w:fill="CCEEFF"/>
          </w:tcPr>
          <w:p>
            <w:pPr>
              <w:spacing w:after="0" w:line="159"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Amended and Restated Patent and Know-How License Agreement, dated as of October 25, 2021, by and between the Procter &amp; Gamble Company and AeroFlexx, LLC</w:t>
              </w:r>
            </w:hyperlink>
          </w:p>
        </w:tc>
        <w:tc>
          <w:tcPr>
            <w:tcW w:w="420" w:type="dxa"/>
            <w:vAlign w:val="bottom"/>
            <w:tcBorders>
              <w:bottom w:val="single" w:sz="8" w:color="CCEEFF"/>
            </w:tcBorders>
            <w:gridSpan w:val="11"/>
            <w:shd w:val="clear" w:color="auto" w:fill="CCEEFF"/>
          </w:tcPr>
          <w:p>
            <w:pPr>
              <w:spacing w:after="0"/>
              <w:rPr>
                <w:sz w:val="13"/>
                <w:szCs w:val="13"/>
                <w:color w:val="auto"/>
              </w:rPr>
            </w:pPr>
          </w:p>
        </w:tc>
      </w:tr>
      <w:tr>
        <w:trPr>
          <w:trHeight w:val="150"/>
        </w:trPr>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5"/>
            <w:shd w:val="clear" w:color="auto" w:fill="CCEEFF"/>
          </w:tcPr>
          <w:p>
            <w:pPr>
              <w:spacing w:after="0" w:line="150"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(incorporated by reference to Exhibit 10.35 to Innventure, Inc.’s Registration Statement on Form S-4 filed with the SEC on September 6,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9"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Aircraft Time-Sharing Agreement, dated May 6, 2024, by and between Innventure LLC and Sugar Grove Ventures LLC (incorporated by reference to Exhibit 10.37 to</w:t>
              </w:r>
            </w:hyperlink>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Innventure, Inc.’s Registration Statement on Form S-4 filed with the SEC on September 6, 2024).</w:t>
              </w:r>
            </w:hyperlink>
          </w:p>
        </w:tc>
        <w:tc>
          <w:tcPr>
            <w:tcW w:w="540" w:type="dxa"/>
            <w:vAlign w:val="bottom"/>
            <w:gridSpan w:val="13"/>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940" w:type="dxa"/>
            <w:vAlign w:val="bottom"/>
            <w:tcBorders>
              <w:bottom w:val="single" w:sz="8" w:color="0000FF"/>
            </w:tcBorders>
            <w:gridSpan w:val="24"/>
            <w:shd w:val="clear" w:color="auto" w:fill="CCEEFF"/>
          </w:tcPr>
          <w:p>
            <w:pPr>
              <w:spacing w:after="0" w:line="15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Aircraft Time-Sharing Agreement, dated May 6, 2024, by and between Innventure LLC and Corporate Development Group LLC (incorporated by reference to Exhibit 10.38 to</w:t>
              </w:r>
            </w:hyperlink>
          </w:p>
        </w:tc>
        <w:tc>
          <w:tcPr>
            <w:tcW w:w="20" w:type="dxa"/>
            <w:vAlign w:val="bottom"/>
            <w:tcBorders>
              <w:bottom w:val="single" w:sz="8" w:color="CCEEFF"/>
            </w:tcBorders>
            <w:shd w:val="clear" w:color="auto" w:fill="CCEEFF"/>
          </w:tcPr>
          <w:p>
            <w:pPr>
              <w:spacing w:after="0"/>
              <w:rPr>
                <w:sz w:val="13"/>
                <w:szCs w:val="13"/>
                <w:color w:val="auto"/>
              </w:rPr>
            </w:pPr>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0000FF"/>
            </w:tcBorders>
            <w:gridSpan w:val="3"/>
            <w:shd w:val="clear" w:color="auto" w:fill="CCEEFF"/>
          </w:tcPr>
          <w:p>
            <w:pPr>
              <w:spacing w:after="0" w:line="150"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Innventure, Inc.’s Registration Statement on Form S-4 filed with the SEC on September 6, 2024).</w:t>
              </w:r>
            </w:hyperlink>
          </w:p>
        </w:tc>
        <w:tc>
          <w:tcPr>
            <w:tcW w:w="4440" w:type="dxa"/>
            <w:vAlign w:val="bottom"/>
            <w:tcBorders>
              <w:bottom w:val="single" w:sz="8" w:color="CCEEFF"/>
            </w:tcBorders>
            <w:gridSpan w:val="22"/>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Amendment to the Statement of Work, effective October 1, 2021, between Innventure LLC and Corporate Development Group LLC (incorporated by reference to Exhibit</w:t>
              </w:r>
            </w:hyperlink>
          </w:p>
        </w:tc>
        <w:tc>
          <w:tcPr>
            <w:tcW w:w="320" w:type="dxa"/>
            <w:vAlign w:val="bottom"/>
            <w:gridSpan w:val="8"/>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39</w:t>
              </w:r>
              <w:r>
                <w:rPr>
                  <w:rFonts w:ascii="Times New Roman" w:cs="Times New Roman" w:eastAsia="Times New Roman" w:hAnsi="Times New Roman"/>
                  <w:sz w:val="14"/>
                  <w:szCs w:val="14"/>
                  <w:color w:val="0000FF"/>
                </w:rPr>
                <w:t xml:space="preserve"> to Innventure, Inc.’s Registration Statement on Form S-4 filed with the SEC on September 6, 2024).</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10.22^</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700" w:type="dxa"/>
            <w:vAlign w:val="bottom"/>
            <w:tcBorders>
              <w:bottom w:val="single" w:sz="8" w:color="0000FF"/>
            </w:tcBorders>
            <w:gridSpan w:val="19"/>
            <w:shd w:val="clear" w:color="auto" w:fill="CCEEFF"/>
          </w:tcPr>
          <w:p>
            <w:pPr>
              <w:spacing w:after="0" w:line="159"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Form of Investment Agreement by and among Innventure, Inc. and the investors party thereto (incorporated by reference to Exhibit 10.46 to Innventure, Inc.’s Registration</w:t>
              </w:r>
            </w:hyperlink>
          </w:p>
        </w:tc>
        <w:tc>
          <w:tcPr>
            <w:tcW w:w="260" w:type="dxa"/>
            <w:vAlign w:val="bottom"/>
            <w:tcBorders>
              <w:bottom w:val="single" w:sz="8" w:color="CCEEFF"/>
            </w:tcBorders>
            <w:gridSpan w:val="6"/>
            <w:shd w:val="clear" w:color="auto" w:fill="CCEEFF"/>
          </w:tcPr>
          <w:p>
            <w:pPr>
              <w:spacing w:after="0"/>
              <w:rPr>
                <w:sz w:val="13"/>
                <w:szCs w:val="13"/>
                <w:color w:val="auto"/>
              </w:rPr>
            </w:pPr>
          </w:p>
        </w:tc>
      </w:tr>
      <w:tr>
        <w:trPr>
          <w:trHeight w:val="150"/>
        </w:trPr>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960" w:type="dxa"/>
            <w:vAlign w:val="bottom"/>
            <w:gridSpan w:val="25"/>
            <w:shd w:val="clear" w:color="auto" w:fill="CCEEFF"/>
          </w:tcPr>
          <w:p>
            <w:pPr>
              <w:spacing w:after="0" w:line="150"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Statement on Form S-4 filed with the SEC on September 6,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7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bottom w:val="single" w:sz="8" w:color="0000FF"/>
            </w:tcBorders>
            <w:gridSpan w:val="11"/>
          </w:tcPr>
          <w:p>
            <w:pPr>
              <w:spacing w:after="0" w:line="159"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Warrant Agreement, dated October 12, 2021, between Learn CW Investment Corporation and American Stock Transfer &amp; Trust Company, LLC, as warrant agent</w:t>
              </w:r>
            </w:hyperlink>
          </w:p>
        </w:tc>
        <w:tc>
          <w:tcPr>
            <w:tcW w:w="800" w:type="dxa"/>
            <w:vAlign w:val="bottom"/>
            <w:gridSpan w:val="14"/>
          </w:tcPr>
          <w:p>
            <w:pPr>
              <w:spacing w:after="0"/>
              <w:rPr>
                <w:sz w:val="13"/>
                <w:szCs w:val="13"/>
                <w:color w:val="auto"/>
              </w:rPr>
            </w:pPr>
          </w:p>
        </w:tc>
      </w:tr>
      <w:tr>
        <w:trPr>
          <w:trHeight w:val="150"/>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25"/>
          </w:tcPr>
          <w:p>
            <w:pPr>
              <w:spacing w:after="0" w:line="150"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(incorporated by reference to Exhibit 4.1 to Learn CW Investment Corporation’s Current Report on Form 8-K filed with the SEC on October 14, 2021).</w:t>
              </w:r>
            </w:hyperlink>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r>
      <w:tr>
        <w:trPr>
          <w:trHeight w:val="30"/>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50"/>
        </w:trPr>
        <w:tc>
          <w:tcPr>
            <w:tcW w:w="122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Warrant Assumption Agreement, dated October 2, 2024, by and among Learn CW Investment Corporation, Innventure, Inc. (f/k/a Learn SPAC HoldCo, Inc.) and Equiniti</w:t>
              </w:r>
            </w:hyperlink>
          </w:p>
        </w:tc>
      </w:tr>
      <w:tr>
        <w:trPr>
          <w:trHeight w:val="20"/>
        </w:trPr>
        <w:tc>
          <w:tcPr>
            <w:tcW w:w="12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r>
      <w:tr>
        <w:trPr>
          <w:trHeight w:val="150"/>
        </w:trPr>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9960" w:type="dxa"/>
            <w:vAlign w:val="bottom"/>
            <w:tcBorders>
              <w:bottom w:val="single" w:sz="8" w:color="0000FF"/>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Trust Company, LLC (f/k/a American Stock Transfer &amp; Stock Company, LLC), as warrant agent (incorporated by reference to Exhibit 10.2 to Innventure Inc.’s Current Report</w:t>
              </w:r>
            </w:hyperlink>
          </w:p>
        </w:tc>
      </w:tr>
      <w:tr>
        <w:trPr>
          <w:trHeight w:val="183"/>
        </w:trPr>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040" w:type="dxa"/>
            <w:vAlign w:val="bottom"/>
            <w:tcBorders>
              <w:bottom w:val="single" w:sz="8" w:color="0000FF"/>
            </w:tcBorders>
            <w:gridSpan w:val="5"/>
            <w:shd w:val="clear" w:color="auto" w:fill="CCEEFF"/>
          </w:tcPr>
          <w:p>
            <w:pPr>
              <w:spacing w:after="0" w:line="150"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on Form 8-K filed with the SEC on October 9, 2024).</w:t>
              </w:r>
            </w:hyperlink>
          </w:p>
        </w:tc>
        <w:tc>
          <w:tcPr>
            <w:tcW w:w="6920" w:type="dxa"/>
            <w:vAlign w:val="bottom"/>
            <w:tcBorders>
              <w:bottom w:val="single" w:sz="8" w:color="CCEEFF"/>
              <w:right w:val="single" w:sz="8" w:color="CCEEFF"/>
            </w:tcBorders>
            <w:gridSpan w:val="12"/>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10.25</w:t>
            </w:r>
          </w:p>
        </w:tc>
        <w:tc>
          <w:tcPr>
            <w:tcW w:w="100" w:type="dxa"/>
            <w:vAlign w:val="bottom"/>
          </w:tcPr>
          <w:p>
            <w:pPr>
              <w:spacing w:after="0"/>
              <w:rPr>
                <w:sz w:val="13"/>
                <w:szCs w:val="13"/>
                <w:color w:val="auto"/>
              </w:rPr>
            </w:pPr>
          </w:p>
        </w:tc>
        <w:tc>
          <w:tcPr>
            <w:tcW w:w="996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Amended and Restated Registration Rights Agreement, dated October 2, 2024, by and among Innventure, Inc., Learn CW Investment Corporation, CWAM LC Sponsor LLC</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gridSpan w:val="17"/>
          </w:tcPr>
          <w:p>
            <w:pPr>
              <w:spacing w:after="0" w:line="150"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and the undersigned parties listed thereto (incorporated by reference to Exhibit 10.3 to Innventure Inc.’s Current Report on Form 8-K filed with the SEC on October 9, 2024).</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10.26</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9960" w:type="dxa"/>
            <w:vAlign w:val="bottom"/>
            <w:tcBorders>
              <w:bottom w:val="single" w:sz="8" w:color="0000FF"/>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Amended &amp; Restated Investor Rights Agreement, dated October 2, 2024, by and among Innventure, Inc., and the undersigned parties listed thereto (incorporated by reference</w:t>
              </w:r>
            </w:hyperlink>
          </w:p>
        </w:tc>
      </w:tr>
      <w:tr>
        <w:trPr>
          <w:trHeight w:val="150"/>
        </w:trPr>
        <w:tc>
          <w:tcPr>
            <w:tcW w:w="12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to Exhibit 10.4 to Innventure Inc.’s Current Report on Form 8-K filed with the SEC on October 9,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3"/>
                <w:szCs w:val="13"/>
                <w:color w:val="auto"/>
              </w:rPr>
            </w:pPr>
          </w:p>
        </w:tc>
        <w:tc>
          <w:tcPr>
            <w:tcW w:w="9960" w:type="dxa"/>
            <w:vAlign w:val="bottom"/>
            <w:gridSpan w:val="17"/>
          </w:tcPr>
          <w:p>
            <w:pPr>
              <w:spacing w:after="0" w:line="15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Form of Indemnification Agreement (incorporated by reference to Exhibit 10.7 to Innventure Inc.’s Current Report on Form 8-K filed with the SEC on October 9, 2024).</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Innventure, Inc. 2024 Equity and Incentive Compensation Plan (incorporated by reference to Annex K to Innventure, Inc.’s Registration Statement on Form S-4 filed with the</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960" w:type="dxa"/>
            <w:vAlign w:val="bottom"/>
            <w:tcBorders>
              <w:top w:val="single" w:sz="8" w:color="0000FF"/>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SEC on September 6, 2024).</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3"/>
                <w:szCs w:val="13"/>
                <w:color w:val="auto"/>
              </w:rPr>
            </w:pPr>
          </w:p>
        </w:tc>
        <w:tc>
          <w:tcPr>
            <w:tcW w:w="9960" w:type="dxa"/>
            <w:vAlign w:val="bottom"/>
            <w:gridSpan w:val="17"/>
          </w:tcPr>
          <w:p>
            <w:pPr>
              <w:spacing w:after="0" w:line="159"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Form of Investment Agreement by and among Innventure, Inc. and the purchasers listed on Schedule I thereto (incorporated by reference to Exhibit 10.9 to Innventure Inc.’s</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239">
              <w:r>
                <w:rPr>
                  <w:rFonts w:ascii="Times New Roman" w:cs="Times New Roman" w:eastAsia="Times New Roman" w:hAnsi="Times New Roman"/>
                  <w:sz w:val="14"/>
                  <w:szCs w:val="14"/>
                  <w:color w:val="0000FF"/>
                </w:rPr>
                <w:t>Current Report on Form 8-K filed with the SEC on October 9, 2024).</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Waiver and Consent entered into on October 2, 2024, by and among, Learn CW, Holdco and Innventure (incorporated by reference to Exhibit 10.10 to Innventure Inc.’s</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16"/>
            <w:shd w:val="clear" w:color="auto" w:fill="CCEEFF"/>
          </w:tcPr>
          <w:p>
            <w:pPr>
              <w:spacing w:after="0" w:line="150"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Current Report on Form 8-K filed with the SEC on October 9, 2024).</w:t>
              </w:r>
            </w:hyperlink>
          </w:p>
        </w:tc>
        <w:tc>
          <w:tcPr>
            <w:tcW w:w="460" w:type="dxa"/>
            <w:vAlign w:val="bottom"/>
            <w:tcBorders>
              <w:top w:val="single" w:sz="8" w:color="CCEEFF"/>
              <w:right w:val="single" w:sz="8" w:color="CCEEFF"/>
            </w:tcBorders>
            <w:shd w:val="clear" w:color="auto" w:fill="CCEEFF"/>
          </w:tcPr>
          <w:p>
            <w:pPr>
              <w:spacing w:after="0"/>
              <w:rPr>
                <w:sz w:val="13"/>
                <w:szCs w:val="13"/>
                <w:color w:val="auto"/>
              </w:rPr>
            </w:pPr>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3"/>
                <w:szCs w:val="13"/>
                <w:color w:val="auto"/>
              </w:rPr>
            </w:pPr>
          </w:p>
        </w:tc>
        <w:tc>
          <w:tcPr>
            <w:tcW w:w="996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Loan and Security Agreement, dated October 22, 2024, by and among Innventure LLC, WTI Fund X, Inc. and WTI Fund XI, Inc. (incorporated by reference to Exhibit 10.1 to</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gridSpan w:val="17"/>
          </w:tcPr>
          <w:p>
            <w:pPr>
              <w:spacing w:after="0" w:line="150" w:lineRule="exact"/>
              <w:rPr>
                <w:rFonts w:ascii="Times New Roman" w:cs="Times New Roman" w:eastAsia="Times New Roman" w:hAnsi="Times New Roman"/>
                <w:sz w:val="14"/>
                <w:szCs w:val="14"/>
                <w:color w:val="0000FF"/>
              </w:rPr>
            </w:pPr>
            <w:hyperlink r:id="rId241">
              <w:r>
                <w:rPr>
                  <w:rFonts w:ascii="Times New Roman" w:cs="Times New Roman" w:eastAsia="Times New Roman" w:hAnsi="Times New Roman"/>
                  <w:sz w:val="14"/>
                  <w:szCs w:val="14"/>
                  <w:color w:val="0000FF"/>
                </w:rPr>
                <w:t>Innventure, Inc.’s Current Report on Form 8-K dated October 23, 2024).</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10.32</w:t>
            </w: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Supplement to the Loan and Security Agreement, dated October 22, 2024, by and among Innventure LLC, WTI Fund X, Inc. and WTI Fund XI, Inc. (incorporated by</w:t>
              </w:r>
            </w:hyperlink>
          </w:p>
        </w:tc>
      </w:tr>
      <w:tr>
        <w:trPr>
          <w:trHeight w:val="183"/>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5660" w:type="dxa"/>
            <w:vAlign w:val="bottom"/>
            <w:tcBorders>
              <w:top w:val="single" w:sz="8" w:color="0000FF"/>
              <w:bottom w:val="single" w:sz="8" w:color="0000FF"/>
            </w:tcBorders>
            <w:gridSpan w:val="12"/>
            <w:shd w:val="clear" w:color="auto" w:fill="CCEEFF"/>
          </w:tcPr>
          <w:p>
            <w:pPr>
              <w:spacing w:after="0" w:line="150" w:lineRule="exact"/>
              <w:rPr>
                <w:rFonts w:ascii="Times New Roman" w:cs="Times New Roman" w:eastAsia="Times New Roman" w:hAnsi="Times New Roman"/>
                <w:sz w:val="14"/>
                <w:szCs w:val="14"/>
                <w:color w:val="0000FF"/>
              </w:rPr>
            </w:pPr>
            <w:hyperlink r:id="rId242">
              <w:r>
                <w:rPr>
                  <w:rFonts w:ascii="Times New Roman" w:cs="Times New Roman" w:eastAsia="Times New Roman" w:hAnsi="Times New Roman"/>
                  <w:sz w:val="14"/>
                  <w:szCs w:val="14"/>
                  <w:color w:val="0000FF"/>
                </w:rPr>
                <w:t>reference to Exhibit 10.2 to Innventure, Inc.’s Current Report on Form 8-K dated October 23, 2024)</w:t>
              </w:r>
            </w:hyperlink>
          </w:p>
        </w:tc>
        <w:tc>
          <w:tcPr>
            <w:tcW w:w="3720" w:type="dxa"/>
            <w:vAlign w:val="bottom"/>
            <w:tcBorders>
              <w:top w:val="single" w:sz="8" w:color="0000FF"/>
              <w:bottom w:val="single" w:sz="8" w:color="CCEEFF"/>
            </w:tcBorders>
            <w:gridSpan w:val="2"/>
            <w:shd w:val="clear" w:color="auto" w:fill="CCEEFF"/>
          </w:tcPr>
          <w:p>
            <w:pPr>
              <w:spacing w:after="0"/>
              <w:rPr>
                <w:sz w:val="15"/>
                <w:szCs w:val="15"/>
                <w:color w:val="auto"/>
              </w:rPr>
            </w:pPr>
          </w:p>
        </w:tc>
        <w:tc>
          <w:tcPr>
            <w:tcW w:w="580" w:type="dxa"/>
            <w:vAlign w:val="bottom"/>
            <w:tcBorders>
              <w:top w:val="single" w:sz="8" w:color="CCEEFF"/>
              <w:bottom w:val="single" w:sz="8" w:color="CCEEFF"/>
              <w:right w:val="single" w:sz="8" w:color="CCEEFF"/>
            </w:tcBorders>
            <w:gridSpan w:val="3"/>
            <w:shd w:val="clear" w:color="auto" w:fill="CCEEFF"/>
          </w:tcPr>
          <w:p>
            <w:pPr>
              <w:spacing w:after="0"/>
              <w:rPr>
                <w:sz w:val="15"/>
                <w:szCs w:val="15"/>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10.33#</w:t>
            </w:r>
          </w:p>
        </w:tc>
        <w:tc>
          <w:tcPr>
            <w:tcW w:w="100" w:type="dxa"/>
            <w:vAlign w:val="bottom"/>
          </w:tcPr>
          <w:p>
            <w:pPr>
              <w:spacing w:after="0"/>
              <w:rPr>
                <w:sz w:val="13"/>
                <w:szCs w:val="13"/>
                <w:color w:val="auto"/>
              </w:rPr>
            </w:pPr>
          </w:p>
        </w:tc>
        <w:tc>
          <w:tcPr>
            <w:tcW w:w="9960" w:type="dxa"/>
            <w:vAlign w:val="bottom"/>
            <w:gridSpan w:val="17"/>
          </w:tcPr>
          <w:p>
            <w:pPr>
              <w:spacing w:after="0" w:line="159"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Form of Notice of Grant of Restricted Stock Units and Restricted Stock Units Agreement for Executive Officers (incorporated by reference to Exhibit 10.1 to Innventure, Inc.’s</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Current Report on Form 8-K dated December 13, 2024).</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59"/>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10.34#</w:t>
            </w: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9440" w:type="dxa"/>
            <w:vAlign w:val="bottom"/>
            <w:tcBorders>
              <w:bottom w:val="single" w:sz="8" w:color="0000FF"/>
            </w:tcBorders>
            <w:gridSpan w:val="15"/>
            <w:shd w:val="clear" w:color="auto" w:fill="CCEEFF"/>
          </w:tcPr>
          <w:p>
            <w:pPr>
              <w:spacing w:after="0" w:line="159"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Form of Notice of Grant of Nonqualified Stock Option and Nonqualified Stock Option Agreement for Executive Officers (incorporated by reference to Exhibit 10.2 to</w:t>
              </w:r>
            </w:hyperlink>
          </w:p>
        </w:tc>
        <w:tc>
          <w:tcPr>
            <w:tcW w:w="520" w:type="dxa"/>
            <w:vAlign w:val="bottom"/>
            <w:tcBorders>
              <w:bottom w:val="single" w:sz="8" w:color="CCEEFF"/>
              <w:right w:val="single" w:sz="8" w:color="CCEEFF"/>
            </w:tcBorders>
            <w:gridSpan w:val="2"/>
            <w:shd w:val="clear" w:color="auto" w:fill="CCEEFF"/>
          </w:tcPr>
          <w:p>
            <w:pPr>
              <w:spacing w:after="0"/>
              <w:rPr>
                <w:sz w:val="13"/>
                <w:szCs w:val="13"/>
                <w:color w:val="auto"/>
              </w:rPr>
            </w:pPr>
          </w:p>
        </w:tc>
      </w:tr>
      <w:tr>
        <w:trPr>
          <w:trHeight w:val="183"/>
        </w:trPr>
        <w:tc>
          <w:tcPr>
            <w:tcW w:w="12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960" w:type="dxa"/>
            <w:vAlign w:val="bottom"/>
            <w:tcBorders>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Innventure, Inc.’s Current Report on Form 8-K dated December 13, 2024).</w:t>
              </w:r>
            </w:hyperlink>
          </w:p>
        </w:tc>
      </w:tr>
      <w:tr>
        <w:trPr>
          <w:trHeight w:val="159"/>
        </w:trPr>
        <w:tc>
          <w:tcPr>
            <w:tcW w:w="122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10.35#*</w:t>
            </w:r>
          </w:p>
        </w:tc>
        <w:tc>
          <w:tcPr>
            <w:tcW w:w="100" w:type="dxa"/>
            <w:vAlign w:val="bottom"/>
            <w:tcBorders>
              <w:top w:val="single" w:sz="8" w:color="CCEEFF"/>
            </w:tcBorders>
          </w:tcPr>
          <w:p>
            <w:pPr>
              <w:spacing w:after="0"/>
              <w:rPr>
                <w:sz w:val="13"/>
                <w:szCs w:val="13"/>
                <w:color w:val="auto"/>
              </w:rPr>
            </w:pPr>
          </w:p>
        </w:tc>
        <w:tc>
          <w:tcPr>
            <w:tcW w:w="4220" w:type="dxa"/>
            <w:vAlign w:val="bottom"/>
            <w:tcBorders>
              <w:top w:val="single" w:sz="8" w:color="0000FF"/>
            </w:tcBorders>
            <w:gridSpan w:val="11"/>
          </w:tcPr>
          <w:p>
            <w:pPr>
              <w:spacing w:after="0" w:line="159" w:lineRule="exact"/>
              <w:rPr>
                <w:sz w:val="20"/>
                <w:szCs w:val="20"/>
                <w:color w:val="auto"/>
              </w:rPr>
            </w:pPr>
            <w:r>
              <w:rPr>
                <w:rFonts w:ascii="Times New Roman" w:cs="Times New Roman" w:eastAsia="Times New Roman" w:hAnsi="Times New Roman"/>
                <w:sz w:val="14"/>
                <w:szCs w:val="14"/>
                <w:color w:val="0000FF"/>
              </w:rPr>
              <w:t>Form of Notice of Grant of Appreciation Rights.</w:t>
            </w:r>
          </w:p>
        </w:tc>
        <w:tc>
          <w:tcPr>
            <w:tcW w:w="5740" w:type="dxa"/>
            <w:vAlign w:val="bottom"/>
            <w:tcBorders>
              <w:top w:val="single" w:sz="8" w:color="CCEEFF"/>
            </w:tcBorders>
            <w:gridSpan w:val="6"/>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10.36#*</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52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Form of Notice of Grant of Cash-Settled Appreciation Rights.</w:t>
            </w:r>
          </w:p>
        </w:tc>
        <w:tc>
          <w:tcPr>
            <w:tcW w:w="6440" w:type="dxa"/>
            <w:vAlign w:val="bottom"/>
            <w:tcBorders>
              <w:bottom w:val="single" w:sz="8" w:color="CCEEFF"/>
              <w:right w:val="single" w:sz="8" w:color="CCEEFF"/>
            </w:tcBorders>
            <w:gridSpan w:val="9"/>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3"/>
                <w:szCs w:val="13"/>
                <w:color w:val="auto"/>
              </w:rPr>
            </w:pPr>
          </w:p>
        </w:tc>
        <w:tc>
          <w:tcPr>
            <w:tcW w:w="9960" w:type="dxa"/>
            <w:vAlign w:val="bottom"/>
            <w:tcBorders>
              <w:bottom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Standby Equity Purchase Agreement, by and between Innventure, Inc. and YA II PN, Ltd., dated October 24, 2023 (incorporated by reference to Exhibit 10.1 to Innventure,</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960" w:type="dxa"/>
            <w:vAlign w:val="bottom"/>
            <w:gridSpan w:val="17"/>
          </w:tcPr>
          <w:p>
            <w:pPr>
              <w:spacing w:after="0" w:line="150"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Inc.’s Current Report on Form 8-K dated March 25, 2025).</w:t>
              </w:r>
            </w:hyperlink>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92"/>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10.38^</w:t>
            </w:r>
          </w:p>
        </w:tc>
        <w:tc>
          <w:tcPr>
            <w:tcW w:w="100" w:type="dxa"/>
            <w:vAlign w:val="bottom"/>
            <w:tcBorders>
              <w:right w:val="single" w:sz="8" w:color="CCEEFF"/>
            </w:tcBorders>
            <w:shd w:val="clear" w:color="auto" w:fill="CCEEFF"/>
          </w:tcPr>
          <w:p>
            <w:pPr>
              <w:spacing w:after="0"/>
              <w:rPr>
                <w:sz w:val="16"/>
                <w:szCs w:val="16"/>
                <w:color w:val="auto"/>
              </w:rPr>
            </w:pPr>
          </w:p>
        </w:tc>
        <w:tc>
          <w:tcPr>
            <w:tcW w:w="9960" w:type="dxa"/>
            <w:vAlign w:val="bottom"/>
            <w:tcBorders>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Form of Series C Purchase Agreement for U.S. Investors (incorporated by reference to Exhibit 10.2 to Innventure, Inc.’s Current Report on Form 8-K dated March 25, 2025).</w:t>
              </w:r>
            </w:hyperlink>
          </w:p>
        </w:tc>
      </w:tr>
      <w:tr>
        <w:trPr>
          <w:trHeight w:val="159"/>
        </w:trPr>
        <w:tc>
          <w:tcPr>
            <w:tcW w:w="1220" w:type="dxa"/>
            <w:vAlign w:val="bottom"/>
            <w:tcBorders>
              <w:top w:val="single" w:sz="8" w:color="CCEEFF"/>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top w:val="single" w:sz="8" w:color="CCEEFF"/>
            </w:tcBorders>
          </w:tcPr>
          <w:p>
            <w:pPr>
              <w:spacing w:after="0"/>
              <w:rPr>
                <w:sz w:val="13"/>
                <w:szCs w:val="13"/>
                <w:color w:val="auto"/>
              </w:rPr>
            </w:pPr>
          </w:p>
        </w:tc>
        <w:tc>
          <w:tcPr>
            <w:tcW w:w="9960" w:type="dxa"/>
            <w:vAlign w:val="bottom"/>
            <w:tcBorders>
              <w:top w:val="single" w:sz="8" w:color="0000FF"/>
            </w:tcBorders>
            <w:gridSpan w:val="17"/>
          </w:tcPr>
          <w:p>
            <w:pPr>
              <w:spacing w:after="0" w:line="159"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Form of Series C Purchase Agreement for Ex-U.S. Investors (incorporated by reference to Exhibit 10.3 to Innventure, Inc.’s Current Report on Form 8-K dated March 25,</w:t>
              </w:r>
            </w:hyperlink>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top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2025).</w:t>
              </w:r>
            </w:hyperlink>
          </w:p>
        </w:tc>
        <w:tc>
          <w:tcPr>
            <w:tcW w:w="1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59"/>
        </w:trPr>
        <w:tc>
          <w:tcPr>
            <w:tcW w:w="12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10.40^</w:t>
            </w:r>
          </w:p>
        </w:tc>
        <w:tc>
          <w:tcPr>
            <w:tcW w:w="100" w:type="dxa"/>
            <w:vAlign w:val="bottom"/>
            <w:tcBorders>
              <w:right w:val="single" w:sz="8" w:color="CCEEFF"/>
            </w:tcBorders>
            <w:shd w:val="clear" w:color="auto" w:fill="CCEEFF"/>
          </w:tcPr>
          <w:p>
            <w:pPr>
              <w:spacing w:after="0"/>
              <w:rPr>
                <w:sz w:val="13"/>
                <w:szCs w:val="13"/>
                <w:color w:val="auto"/>
              </w:rPr>
            </w:pPr>
          </w:p>
        </w:tc>
        <w:tc>
          <w:tcPr>
            <w:tcW w:w="9960" w:type="dxa"/>
            <w:vAlign w:val="bottom"/>
            <w:tcBorders>
              <w:right w:val="single" w:sz="8" w:color="CCEEFF"/>
            </w:tcBorders>
            <w:gridSpan w:val="17"/>
            <w:shd w:val="clear" w:color="auto" w:fill="CCEEFF"/>
          </w:tcPr>
          <w:p>
            <w:pPr>
              <w:spacing w:after="0" w:line="159"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Securities Purchase Agreement, by and between Innventure, Inc. and YA II PN, Ltd., dated March 26, 2025 (incorporated by reference to Exhibit 10.1 to Innventure, Inc.’s</w:t>
              </w:r>
            </w:hyperlink>
          </w:p>
        </w:tc>
      </w:tr>
      <w:tr>
        <w:trPr>
          <w:trHeight w:val="150"/>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960" w:type="dxa"/>
            <w:vAlign w:val="bottom"/>
            <w:tcBorders>
              <w:top w:val="single" w:sz="8" w:color="0000FF"/>
              <w:right w:val="single" w:sz="8" w:color="CCEEFF"/>
            </w:tcBorders>
            <w:gridSpan w:val="17"/>
            <w:shd w:val="clear" w:color="auto" w:fill="CCEEFF"/>
          </w:tcPr>
          <w:p>
            <w:pPr>
              <w:spacing w:after="0" w:line="150"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Current Report on Form 8-K dated March 26, 2025).</w:t>
              </w:r>
            </w:hyperlink>
          </w:p>
        </w:tc>
      </w:tr>
      <w:tr>
        <w:trPr>
          <w:trHeight w:val="33"/>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180" w:type="dxa"/>
            <w:vAlign w:val="bottom"/>
            <w:gridSpan w:val="7"/>
          </w:tcPr>
          <w:p>
            <w:pPr>
              <w:ind w:left="1640"/>
              <w:spacing w:after="0"/>
              <w:rPr>
                <w:sz w:val="20"/>
                <w:szCs w:val="20"/>
                <w:color w:val="auto"/>
              </w:rPr>
            </w:pPr>
            <w:r>
              <w:rPr>
                <w:rFonts w:ascii="Times New Roman" w:cs="Times New Roman" w:eastAsia="Times New Roman" w:hAnsi="Times New Roman"/>
                <w:sz w:val="11"/>
                <w:szCs w:val="11"/>
                <w:b w:val="1"/>
                <w:bCs w:val="1"/>
                <w:color w:val="auto"/>
              </w:rPr>
              <w:t>Description of Exhibits</w:t>
            </w:r>
          </w:p>
        </w:tc>
      </w:tr>
      <w:tr>
        <w:trPr>
          <w:trHeight w:val="30"/>
        </w:trPr>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0"/>
        </w:trPr>
        <w:tc>
          <w:tcPr>
            <w:tcW w:w="122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0" w:lineRule="exact"/>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Form of Global Guaranty Agreement (incorporated by reference to Exhibit 10.2 to Innventure, Inc.’s Current Report on Form 8-K dated March 26, 2025).</w:t>
              </w:r>
            </w:hyperlink>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9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74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10.42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0000FF"/>
            </w:tcBorders>
            <w:gridSpan w:val="11"/>
            <w:shd w:val="clear" w:color="auto" w:fill="CCEEFF"/>
          </w:tcPr>
          <w:p>
            <w:pPr>
              <w:spacing w:after="0" w:line="159"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Form </w:t>
            </w:r>
            <w:hyperlink r:id="rId251">
              <w:r>
                <w:rPr>
                  <w:rFonts w:ascii="Times New Roman" w:cs="Times New Roman" w:eastAsia="Times New Roman" w:hAnsi="Times New Roman"/>
                  <w:sz w:val="14"/>
                  <w:szCs w:val="14"/>
                  <w:color w:val="0000FF"/>
                </w:rPr>
                <w:t xml:space="preserve">of Registration Rights Agreement (incorporated by reference to Exhibit 10.3 to Innventure, </w:t>
              </w:r>
            </w:hyperlink>
            <w:r>
              <w:rPr>
                <w:rFonts w:ascii="Times New Roman" w:cs="Times New Roman" w:eastAsia="Times New Roman" w:hAnsi="Times New Roman"/>
                <w:sz w:val="14"/>
                <w:szCs w:val="14"/>
                <w:color w:val="0000FF"/>
              </w:rPr>
              <w:t xml:space="preserve">Inc.’s </w:t>
            </w:r>
            <w:hyperlink r:id="rId251">
              <w:r>
                <w:rPr>
                  <w:rFonts w:ascii="Times New Roman" w:cs="Times New Roman" w:eastAsia="Times New Roman" w:hAnsi="Times New Roman"/>
                  <w:sz w:val="14"/>
                  <w:szCs w:val="14"/>
                  <w:color w:val="0000FF"/>
                </w:rPr>
                <w:t xml:space="preserve">Current Report on Form 8-K dated March 26, </w:t>
              </w:r>
            </w:hyperlink>
            <w:r>
              <w:rPr>
                <w:rFonts w:ascii="Times New Roman" w:cs="Times New Roman" w:eastAsia="Times New Roman" w:hAnsi="Times New Roman"/>
                <w:sz w:val="14"/>
                <w:szCs w:val="14"/>
                <w:color w:val="0000FF"/>
              </w:rPr>
              <w:t>2025)</w:t>
            </w:r>
            <w:hyperlink r:id="rId251">
              <w:r>
                <w:rPr>
                  <w:rFonts w:ascii="Times New Roman" w:cs="Times New Roman" w:eastAsia="Times New Roman" w:hAnsi="Times New Roman"/>
                  <w:sz w:val="14"/>
                  <w:szCs w:val="14"/>
                  <w:color w:val="0000FF"/>
                </w:rPr>
                <w:t>.</w:t>
              </w:r>
            </w:hyperlink>
          </w:p>
        </w:tc>
        <w:tc>
          <w:tcPr>
            <w:tcW w:w="1080" w:type="dxa"/>
            <w:vAlign w:val="bottom"/>
            <w:tcBorders>
              <w:bottom w:val="single" w:sz="8" w:color="CCEEFF"/>
            </w:tcBorders>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u w:val="single" w:color="auto"/>
                <w:color w:val="0000FF"/>
              </w:rPr>
              <w:t>Innventure,</w:t>
            </w:r>
            <w:r>
              <w:rPr>
                <w:rFonts w:ascii="Times New Roman" w:cs="Times New Roman" w:eastAsia="Times New Roman" w:hAnsi="Times New Roman"/>
                <w:sz w:val="14"/>
                <w:szCs w:val="14"/>
                <w:color w:val="0000FF"/>
              </w:rPr>
              <w:t xml:space="preserve"> Inc. 2025 Short-Term Incentive Plan.</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0000FF"/>
            </w:tcBorders>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9"/>
              </w:rPr>
              <w:t>Innventure, Inc. Insider Trading Policy.</w:t>
            </w:r>
          </w:p>
        </w:tc>
        <w:tc>
          <w:tcPr>
            <w:tcW w:w="7720" w:type="dxa"/>
            <w:vAlign w:val="bottom"/>
            <w:tcBorders>
              <w:bottom w:val="single" w:sz="8" w:color="CCEEFF"/>
            </w:tcBorders>
            <w:gridSpan w:val="8"/>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Subsidiaries of the Registrant.</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0000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9"/>
              </w:rPr>
              <w:t>Consent of BDO USA, P.C.</w:t>
            </w:r>
          </w:p>
        </w:tc>
        <w:tc>
          <w:tcPr>
            <w:tcW w:w="8380" w:type="dxa"/>
            <w:vAlign w:val="bottom"/>
            <w:tcBorders>
              <w:bottom w:val="single" w:sz="8" w:color="CCEEFF"/>
            </w:tcBorders>
            <w:gridSpan w:val="10"/>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Rule 13a-14(a) Certification by Gregory W. Haskell, Chief Executive Officer, for the fiscal year ended December 31, 2024.</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9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860" w:type="dxa"/>
            <w:vAlign w:val="bottom"/>
            <w:tcBorders>
              <w:bottom w:val="single" w:sz="8" w:color="0000FF"/>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Rule 13a-14(a) Certification by David Yablunosky, Chief Financial Officer, for the fiscal year ended December 31, 2024.</w:t>
            </w:r>
          </w:p>
        </w:tc>
        <w:tc>
          <w:tcPr>
            <w:tcW w:w="3100" w:type="dxa"/>
            <w:vAlign w:val="bottom"/>
            <w:tcBorders>
              <w:bottom w:val="single" w:sz="8" w:color="CCEEFF"/>
            </w:tcBorders>
            <w:gridSpan w:val="5"/>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Section 1350 Certification by Gregory W. Haskell, Chief Executive Officer, for the fiscal year ended December 31, 2024.</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9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12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0000FF"/>
            </w:tcBorders>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Section 1350 Certification by David Yablunosky, Chief Financial Officer, for the fiscal year ended December 31, 2024.</w:t>
            </w:r>
          </w:p>
        </w:tc>
        <w:tc>
          <w:tcPr>
            <w:tcW w:w="3200" w:type="dxa"/>
            <w:vAlign w:val="bottom"/>
            <w:tcBorders>
              <w:bottom w:val="single" w:sz="8" w:color="CCEEFF"/>
            </w:tcBorders>
            <w:gridSpan w:val="6"/>
            <w:shd w:val="clear" w:color="auto" w:fill="CCEEFF"/>
          </w:tcPr>
          <w:p>
            <w:pPr>
              <w:spacing w:after="0"/>
              <w:rPr>
                <w:sz w:val="16"/>
                <w:szCs w:val="16"/>
                <w:color w:val="auto"/>
              </w:rPr>
            </w:pPr>
          </w:p>
        </w:tc>
      </w:tr>
      <w:tr>
        <w:trPr>
          <w:trHeight w:val="159"/>
        </w:trPr>
        <w:tc>
          <w:tcPr>
            <w:tcW w:w="12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12"/>
          </w:tcPr>
          <w:p>
            <w:pPr>
              <w:spacing w:after="0" w:line="159" w:lineRule="exact"/>
              <w:rPr>
                <w:sz w:val="20"/>
                <w:szCs w:val="20"/>
                <w:color w:val="auto"/>
              </w:rPr>
            </w:pPr>
            <w:r>
              <w:rPr>
                <w:rFonts w:ascii="Times New Roman" w:cs="Times New Roman" w:eastAsia="Times New Roman" w:hAnsi="Times New Roman"/>
                <w:sz w:val="14"/>
                <w:szCs w:val="14"/>
                <w:color w:val="0000FF"/>
              </w:rPr>
              <w:t>Innventure, Inc. Compensation Clawback Policy.</w:t>
            </w:r>
          </w:p>
        </w:tc>
      </w:tr>
      <w:tr>
        <w:trPr>
          <w:trHeight w:val="3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following financial statements from Innventure, Inc.’s Annual Report on Form 10-K for the fiscal year ended December 31, 2024, formatted in Inline XBRL (eXtensible</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 Reporting Language): (i) Consolidated Balance Sheets as of December 31, 2024 and 2023; (ii) Consolidated Statements of Operations and Comprehensive Income</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for the period October 2, 2024 through December 31, 2024 (Successor), January 1, 2024 through October 1, 2024 (Predecessor) and the year ended December 31, 2023</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(Predecessor); (iii) Consolidated Statement of Changes in Mezzanine Capital for the period January 1, 2024 through October 1, 2024 (Predecessor) and the year ended</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2023 (Predecessor); (iv) Consolidated Statement of Changes in Stockholders’ Equity for the period October 2, 2024 through December 31, 2024 (Successor),</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January 1, 2024 through October 1, 2024 (Predecessor) and the year ended December 31, 2023; (v) Consolidated Statements of Cash Flows for the period October 2, 2024</w:t>
            </w:r>
          </w:p>
        </w:tc>
      </w:tr>
      <w:tr>
        <w:trPr>
          <w:trHeight w:val="170"/>
        </w:trPr>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through December 31, 2024 (Successor), January 1, 2024 through October 1, 2024 (Predecessor) and the year ended December 31, 2023 (Predecessor); and (vi) Notes to</w:t>
            </w:r>
          </w:p>
        </w:tc>
      </w:tr>
      <w:tr>
        <w:trPr>
          <w:trHeight w:val="186"/>
        </w:trPr>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9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r>
      <w:tr>
        <w:trPr>
          <w:trHeight w:val="184"/>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8"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1"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8" w:lineRule="exact"/>
        <w:rPr>
          <w:rFonts w:ascii="Times New Roman" w:cs="Times New Roman" w:eastAsia="Times New Roman" w:hAnsi="Times New Roman"/>
          <w:sz w:val="11"/>
          <w:szCs w:val="11"/>
          <w:color w:val="auto"/>
        </w:rPr>
      </w:pPr>
    </w:p>
    <w:p>
      <w:pPr>
        <w:ind w:left="200" w:hanging="195"/>
        <w:spacing w:after="0"/>
        <w:tabs>
          <w:tab w:leader="none" w:pos="20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Furnished herewith</w:t>
      </w:r>
    </w:p>
    <w:p>
      <w:pPr>
        <w:spacing w:after="0" w:line="172" w:lineRule="exact"/>
        <w:rPr>
          <w:sz w:val="20"/>
          <w:szCs w:val="20"/>
          <w:color w:val="auto"/>
        </w:rPr>
      </w:pPr>
    </w:p>
    <w:p>
      <w:pPr>
        <w:ind w:left="260" w:hanging="255"/>
        <w:spacing w:after="0"/>
        <w:tabs>
          <w:tab w:leader="none" w:pos="26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 respectfully submits that it has filed a Confidential Treatment Request with the Commission with respect to this exhibit.</w:t>
      </w:r>
    </w:p>
    <w:p>
      <w:pPr>
        <w:spacing w:after="0" w:line="20" w:lineRule="exact"/>
        <w:rPr>
          <w:sz w:val="20"/>
          <w:szCs w:val="20"/>
          <w:color w:val="auto"/>
        </w:rPr>
      </w:pPr>
    </w:p>
    <w:p>
      <w:pPr>
        <w:ind w:right="1800" w:firstLine="5"/>
        <w:spacing w:after="0" w:line="254" w:lineRule="auto"/>
        <w:tabs>
          <w:tab w:leader="none" w:pos="244"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Schedules and exhibits have been omitted pursuant to Item 601(b)(2) of Regulation S-K. The registrant agrees to furnish supplementally a copy of any omitted schedule or exhibit to the SEC upon request. ^ Certain schedules have been omitted pursuant to Item 601(a)(5) of Regulation S-K. Innventure, Inc. agrees to furnish a copy of any omitted schedule to the SEC upon request.</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163830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8100" w:type="dxa"/>
            <w:vAlign w:val="bottom"/>
            <w:gridSpan w:val="4"/>
          </w:tcPr>
          <w:p>
            <w:pPr>
              <w:ind w:left="1980"/>
              <w:spacing w:after="0"/>
              <w:rPr>
                <w:sz w:val="20"/>
                <w:szCs w:val="20"/>
                <w:color w:val="auto"/>
              </w:rPr>
            </w:pPr>
            <w:r>
              <w:rPr>
                <w:rFonts w:ascii="Times New Roman" w:cs="Times New Roman" w:eastAsia="Times New Roman" w:hAnsi="Times New Roman"/>
                <w:sz w:val="14"/>
                <w:szCs w:val="14"/>
                <w:b w:val="1"/>
                <w:bCs w:val="1"/>
                <w:color w:val="auto"/>
              </w:rPr>
              <w:t>INNVENTURE, INC.</w:t>
            </w:r>
          </w:p>
        </w:tc>
      </w:tr>
      <w:tr>
        <w:trPr>
          <w:trHeight w:val="308"/>
        </w:trPr>
        <w:tc>
          <w:tcPr>
            <w:tcW w:w="3160" w:type="dxa"/>
            <w:vAlign w:val="bottom"/>
          </w:tcPr>
          <w:p>
            <w:pPr>
              <w:spacing w:after="0"/>
              <w:rPr>
                <w:sz w:val="24"/>
                <w:szCs w:val="24"/>
                <w:color w:val="auto"/>
              </w:rPr>
            </w:pP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By:</w:t>
            </w:r>
          </w:p>
        </w:tc>
        <w:tc>
          <w:tcPr>
            <w:tcW w:w="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Gregory W. Haskell</w:t>
            </w:r>
          </w:p>
        </w:tc>
      </w:tr>
      <w:tr>
        <w:trPr>
          <w:trHeight w:val="33"/>
        </w:trPr>
        <w:tc>
          <w:tcPr>
            <w:tcW w:w="3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181"/>
        </w:trPr>
        <w:tc>
          <w:tcPr>
            <w:tcW w:w="3160" w:type="dxa"/>
            <w:vAlign w:val="bottom"/>
          </w:tcPr>
          <w:p>
            <w:pPr>
              <w:spacing w:after="0"/>
              <w:rPr>
                <w:sz w:val="15"/>
                <w:szCs w:val="15"/>
                <w:color w:val="auto"/>
              </w:rPr>
            </w:pP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Name:</w:t>
            </w:r>
          </w:p>
        </w:tc>
        <w:tc>
          <w:tcPr>
            <w:tcW w:w="5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Gregory W. Haskell</w:t>
            </w:r>
          </w:p>
        </w:tc>
      </w:tr>
      <w:tr>
        <w:trPr>
          <w:trHeight w:val="21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Date: April 14, 2025</w:t>
            </w:r>
          </w:p>
        </w:tc>
        <w:tc>
          <w:tcPr>
            <w:tcW w:w="2860" w:type="dxa"/>
            <w:vAlign w:val="bottom"/>
          </w:tcPr>
          <w:p>
            <w:pPr>
              <w:ind w:left="1980"/>
              <w:spacing w:after="0"/>
              <w:rPr>
                <w:sz w:val="20"/>
                <w:szCs w:val="20"/>
                <w:color w:val="auto"/>
              </w:rPr>
            </w:pPr>
            <w:r>
              <w:rPr>
                <w:rFonts w:ascii="Times New Roman" w:cs="Times New Roman" w:eastAsia="Times New Roman" w:hAnsi="Times New Roman"/>
                <w:sz w:val="14"/>
                <w:szCs w:val="14"/>
                <w:color w:val="auto"/>
              </w:rPr>
              <w:t>Title:</w:t>
            </w:r>
          </w:p>
        </w:tc>
        <w:tc>
          <w:tcPr>
            <w:tcW w:w="5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bl>
    <w:p>
      <w:pPr>
        <w:spacing w:after="0" w:line="3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30"/>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w w:val="98"/>
              </w:rPr>
              <w:t>/s/ Gregory W. Haskell</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Gregory W. Haskell</w:t>
            </w:r>
          </w:p>
        </w:tc>
        <w:tc>
          <w:tcPr>
            <w:tcW w:w="80" w:type="dxa"/>
            <w:vAlign w:val="bottom"/>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340" w:type="dxa"/>
            <w:vAlign w:val="bottom"/>
            <w:gridSpan w:val="2"/>
            <w:vMerge w:val="continue"/>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/s/ David Yablunosky</w:t>
            </w:r>
          </w:p>
        </w:tc>
        <w:tc>
          <w:tcPr>
            <w:tcW w:w="40" w:type="dxa"/>
            <w:vAlign w:val="bottom"/>
          </w:tcPr>
          <w:p>
            <w:pPr>
              <w:spacing w:after="0"/>
              <w:rPr>
                <w:sz w:val="23"/>
                <w:szCs w:val="23"/>
                <w:color w:val="auto"/>
              </w:rPr>
            </w:pPr>
          </w:p>
        </w:tc>
        <w:tc>
          <w:tcPr>
            <w:tcW w:w="6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Financial Officer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David Yablunosky</w:t>
            </w:r>
          </w:p>
        </w:tc>
        <w:tc>
          <w:tcPr>
            <w:tcW w:w="80" w:type="dxa"/>
            <w:vAlign w:val="bottom"/>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460" w:type="dxa"/>
            <w:vAlign w:val="bottom"/>
            <w:gridSpan w:val="9"/>
            <w:vMerge w:val="continue"/>
          </w:tcPr>
          <w:p>
            <w:pPr>
              <w:spacing w:after="0"/>
              <w:rPr>
                <w:sz w:val="7"/>
                <w:szCs w:val="7"/>
                <w:color w:val="auto"/>
              </w:rPr>
            </w:pPr>
          </w:p>
        </w:tc>
        <w:tc>
          <w:tcPr>
            <w:tcW w:w="80" w:type="dxa"/>
            <w:vAlign w:val="bottom"/>
          </w:tcPr>
          <w:p>
            <w:pPr>
              <w:spacing w:after="0"/>
              <w:rPr>
                <w:sz w:val="7"/>
                <w:szCs w:val="7"/>
                <w:color w:val="auto"/>
              </w:rPr>
            </w:pPr>
          </w:p>
        </w:tc>
        <w:tc>
          <w:tcPr>
            <w:tcW w:w="534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5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Michael Otworth</w:t>
            </w:r>
          </w:p>
        </w:tc>
        <w:tc>
          <w:tcPr>
            <w:tcW w:w="80" w:type="dxa"/>
            <w:vAlign w:val="bottom"/>
          </w:tcPr>
          <w:p>
            <w:pPr>
              <w:spacing w:after="0"/>
              <w:rPr>
                <w:sz w:val="15"/>
                <w:szCs w:val="15"/>
                <w:color w:val="auto"/>
              </w:rPr>
            </w:pPr>
          </w:p>
        </w:tc>
        <w:tc>
          <w:tcPr>
            <w:tcW w:w="5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Executive Chairman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Michael Otworth</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Suzanne Niemeyer</w:t>
            </w:r>
          </w:p>
        </w:tc>
        <w:tc>
          <w:tcPr>
            <w:tcW w:w="80" w:type="dxa"/>
            <w:vAlign w:val="bottom"/>
          </w:tcPr>
          <w:p>
            <w:pPr>
              <w:spacing w:after="0"/>
              <w:rPr>
                <w:sz w:val="15"/>
                <w:szCs w:val="15"/>
                <w:color w:val="auto"/>
              </w:rPr>
            </w:pPr>
          </w:p>
        </w:tc>
        <w:tc>
          <w:tcPr>
            <w:tcW w:w="5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General Counsel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Suzanne Niemeyer</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/s/ James O. Donnally</w:t>
            </w:r>
          </w:p>
        </w:tc>
        <w:tc>
          <w:tcPr>
            <w:tcW w:w="80" w:type="dxa"/>
            <w:vAlign w:val="bottom"/>
          </w:tcPr>
          <w:p>
            <w:pPr>
              <w:spacing w:after="0"/>
              <w:rPr>
                <w:sz w:val="19"/>
                <w:szCs w:val="19"/>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James O. Donnally</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Bruce Brown</w:t>
            </w:r>
          </w:p>
        </w:tc>
        <w:tc>
          <w:tcPr>
            <w:tcW w:w="80" w:type="dxa"/>
            <w:vAlign w:val="bottom"/>
          </w:tcPr>
          <w:p>
            <w:pPr>
              <w:spacing w:after="0"/>
              <w:rPr>
                <w:sz w:val="19"/>
                <w:szCs w:val="19"/>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Bruce Brown</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Elizabeth Williams</w:t>
            </w:r>
          </w:p>
        </w:tc>
        <w:tc>
          <w:tcPr>
            <w:tcW w:w="80" w:type="dxa"/>
            <w:vAlign w:val="bottom"/>
          </w:tcPr>
          <w:p>
            <w:pPr>
              <w:spacing w:after="0"/>
              <w:rPr>
                <w:sz w:val="19"/>
                <w:szCs w:val="19"/>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Elizabeth Williams</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Daniel J. Hennessy</w:t>
            </w:r>
          </w:p>
        </w:tc>
        <w:tc>
          <w:tcPr>
            <w:tcW w:w="80" w:type="dxa"/>
            <w:vAlign w:val="bottom"/>
          </w:tcPr>
          <w:p>
            <w:pPr>
              <w:spacing w:after="0"/>
              <w:rPr>
                <w:sz w:val="19"/>
                <w:szCs w:val="19"/>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Daniel J. Hennessy</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 Michael Amalfitano</w:t>
            </w:r>
          </w:p>
        </w:tc>
        <w:tc>
          <w:tcPr>
            <w:tcW w:w="80" w:type="dxa"/>
            <w:vAlign w:val="bottom"/>
          </w:tcPr>
          <w:p>
            <w:pPr>
              <w:spacing w:after="0"/>
              <w:rPr>
                <w:sz w:val="19"/>
                <w:szCs w:val="19"/>
                <w:color w:val="auto"/>
              </w:rPr>
            </w:pPr>
          </w:p>
        </w:tc>
        <w:tc>
          <w:tcPr>
            <w:tcW w:w="5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April 14, 2025</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340" w:type="dxa"/>
            <w:vAlign w:val="bottom"/>
            <w:gridSpan w:val="2"/>
            <w:vMerge w:val="continue"/>
          </w:tcPr>
          <w:p>
            <w:pPr>
              <w:spacing w:after="0"/>
              <w:rPr>
                <w:sz w:val="2"/>
                <w:szCs w:val="2"/>
                <w:color w:val="auto"/>
              </w:rPr>
            </w:pPr>
          </w:p>
        </w:tc>
        <w:tc>
          <w:tcPr>
            <w:tcW w:w="2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auto"/>
              </w:rPr>
              <w:t>Michael Amalfitano</w:t>
            </w:r>
          </w:p>
        </w:tc>
        <w:tc>
          <w:tcPr>
            <w:tcW w:w="80" w:type="dxa"/>
            <w:vAlign w:val="bottom"/>
            <w:vMerge w:val="continue"/>
          </w:tcPr>
          <w:p>
            <w:pPr>
              <w:spacing w:after="0"/>
              <w:rPr>
                <w:sz w:val="5"/>
                <w:szCs w:val="5"/>
                <w:color w:val="auto"/>
              </w:rPr>
            </w:pPr>
          </w:p>
        </w:tc>
        <w:tc>
          <w:tcPr>
            <w:tcW w:w="5340" w:type="dxa"/>
            <w:vAlign w:val="bottom"/>
            <w:gridSpan w:val="2"/>
            <w:vMerge w:val="continue"/>
          </w:tcPr>
          <w:p>
            <w:pPr>
              <w:spacing w:after="0"/>
              <w:rPr>
                <w:sz w:val="5"/>
                <w:szCs w:val="5"/>
                <w:color w:val="auto"/>
              </w:rPr>
            </w:pPr>
          </w:p>
        </w:tc>
        <w:tc>
          <w:tcPr>
            <w:tcW w:w="2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1280"/>
          </w:cols>
          <w:pgMar w:left="300" w:top="125"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 REGISTERED PURSUANT TO SECTION 12 OF THE SECURITIES EXCHANGE ACT OF 1934</w:t>
      </w:r>
    </w:p>
    <w:p>
      <w:pPr>
        <w:spacing w:after="0" w:line="202"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Innventure, Inc., a Delaware corporation (the “Company,” “we,” “our” or “us”), has one class of securities registered under Section 12 of the Securities Exchange Act of 1934, as amended (the “Exchange Act”): its common stock, par value $0.0001 per share (“Common Stock”).</w:t>
      </w:r>
    </w:p>
    <w:p>
      <w:pPr>
        <w:spacing w:after="0" w:line="145" w:lineRule="exact"/>
        <w:rPr>
          <w:sz w:val="20"/>
          <w:szCs w:val="20"/>
          <w:color w:val="auto"/>
        </w:rPr>
      </w:pPr>
    </w:p>
    <w:p>
      <w:pPr>
        <w:jc w:val="both"/>
        <w:ind w:firstLine="283"/>
        <w:spacing w:after="0" w:line="174" w:lineRule="exact"/>
        <w:rPr>
          <w:sz w:val="20"/>
          <w:szCs w:val="20"/>
          <w:color w:val="auto"/>
        </w:rPr>
      </w:pPr>
      <w:r>
        <w:rPr>
          <w:rFonts w:ascii="Times New Roman" w:cs="Times New Roman" w:eastAsia="Times New Roman" w:hAnsi="Times New Roman"/>
          <w:sz w:val="14"/>
          <w:szCs w:val="14"/>
          <w:color w:val="auto"/>
        </w:rPr>
        <w:t>The following description of our capital stock is a summary and is qualified in its entirety by provisions of Delaware law and by reference to the terms of our Amended and Restated Certificate of Incorporation and By-laws, which are incorporated herein by reference and attached as exhibits to the Company’s most recent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with the Securities and Exchange Commission (the “SEC”). We encourage you to read these documents and the applicable portions of the Delaware General Corporation Law, as amended (the “DGCL”), and our Amended and Restated Certificate of Incorporation and our By-laws, as applicable, carefully and in their entirety because they describe your rights as a holder of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02"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Our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2"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4"/>
          <w:szCs w:val="14"/>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168"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4"/>
          <w:szCs w:val="14"/>
          <w:color w:val="auto"/>
        </w:rPr>
        <w:t>After the designation of the Series B Preferred Stock and the Series C Preferred Stock, 17,000,000 authorized shares of preferred stock remain available for the creation and issuance of one or more additional series of preferred stock by the Company’s board of directors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64" w:lineRule="exact"/>
        <w:rPr>
          <w:sz w:val="20"/>
          <w:szCs w:val="20"/>
          <w:color w:val="auto"/>
        </w:rPr>
      </w:pPr>
    </w:p>
    <w:p>
      <w:pPr>
        <w:ind w:left="520" w:hanging="260"/>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any series and the designation to distinguish the shares of such series from the shares of all other series;</w:t>
      </w:r>
    </w:p>
    <w:p>
      <w:pPr>
        <w:sectPr>
          <w:pgSz w:w="11900" w:h="16838" w:orient="portrait"/>
          <w:cols w:equalWidth="0" w:num="1">
            <w:col w:w="11280"/>
          </w:cols>
          <w:pgMar w:left="300" w:top="122" w:right="319" w:bottom="1440" w:gutter="0" w:footer="0" w:header="0"/>
        </w:sectPr>
      </w:pPr>
    </w:p>
    <w:bookmarkStart w:id="147" w:name="page148"/>
    <w:bookmarkEnd w:id="147"/>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and whether such voting powers are full or limited in such series;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provisions, if any, applicable to such series, including the redemption price or prices to be paid;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if any, will be cumulative or noncumulative, the dividend rate of such series, and the dates and preferences of dividends on such series;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such series upon the voluntary or involuntary dissolution of, or upon any distribution of the assets of, the Company;</w:t>
      </w:r>
    </w:p>
    <w:p>
      <w:pPr>
        <w:spacing w:after="0" w:line="199"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subscribe for or to purchase any securities of the Company or any other corporation or other entity;</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of a sinking fund applicable to such series;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participating, optional, or other special powers, preferences or rights and qualifications, limitations, or restrictions thereof; and</w:t>
      </w:r>
    </w:p>
    <w:p>
      <w:pPr>
        <w:spacing w:after="0" w:line="199"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 may be determined from time to time by the Board and stated or expressed in the resolution or resolutions providing for the issuance of such preferred stock (collectively, a “Preferred Stock Designation”).</w:t>
      </w:r>
    </w:p>
    <w:p>
      <w:pPr>
        <w:spacing w:after="0" w:line="145"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4"/>
          <w:szCs w:val="14"/>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4"/>
          <w:szCs w:val="14"/>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64"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w:t>
      </w:r>
    </w:p>
    <w:p>
      <w:pPr>
        <w:sectPr>
          <w:pgSz w:w="11900" w:h="16838" w:orient="portrait"/>
          <w:cols w:equalWidth="0" w:num="1">
            <w:col w:w="11280"/>
          </w:cols>
          <w:pgMar w:left="300" w:top="1334"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color w:val="auto"/>
        </w:rPr>
        <w:t>each such stockholder when, as and if declared by the Board in its discretion from time to time in accordance with applicable law.</w:t>
      </w:r>
    </w:p>
    <w:p>
      <w:pPr>
        <w:spacing w:after="0" w:line="200"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We have no current plans to pay dividends on the Common Stock. Any decision to declare and pay dividends in the future will be made at the sole discretion of the Board and will depend on, among other things, our results of operations, cash requirements, financial condition, contractual restrictions and other factors that the Board may deem relevant. Because we are a holding company with no direct operations, we will only be able to pay dividends from funds we receive from our subsidiaries.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Our Common Stock trades on the Nasdaq Global Market (“Nasdaq”) under the symbol “INV.”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Stockholder Meetings</w:t>
      </w:r>
    </w:p>
    <w:p>
      <w:pPr>
        <w:spacing w:after="0" w:line="202"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The By-laws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the Company’s Amended and Restated Certificate of Incorporation and By-laws and Certain Provisions of Delaware Law</w:t>
      </w:r>
    </w:p>
    <w:p>
      <w:pPr>
        <w:spacing w:after="0" w:line="2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4"/>
          <w:szCs w:val="14"/>
          <w:color w:val="auto"/>
        </w:rPr>
        <w:t>The Amended and Restated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the Company’s vulnerability to a hostile change of control and enhance the ability of the Board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20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157"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The Board may generally issue preferred shares on terms calculated to discourage, delay or prevent a change of control of the Company or the removal of the Company’s management. Moreover, the Company’s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57"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the Company’s management and possibly deprive the Company’s stockholders of opportunities to sell their shares of Common Stock at prices higher than prevailing market prices.</w:t>
      </w:r>
    </w:p>
    <w:p>
      <w:pPr>
        <w:sectPr>
          <w:pgSz w:w="11900" w:h="16838" w:orient="portrait"/>
          <w:cols w:equalWidth="0" w:num="1">
            <w:col w:w="11280"/>
          </w:cols>
          <w:pgMar w:left="300" w:top="1143"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2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4"/>
          <w:szCs w:val="14"/>
          <w:color w:val="auto"/>
        </w:rPr>
        <w:t>The Company’s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 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164"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4"/>
          <w:szCs w:val="14"/>
          <w:color w:val="auto"/>
        </w:rPr>
        <w:t>At each succeeding annual meeting of the stockholders of the Company,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202"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then outstanding, for as long as this Amended and Restated Certificate of Incorporation provides for a classified board of directors, any director may otherwise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202"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Subject to the special rights of the holders of one or more series of preferred stock, special meetings of the stockholders of the Company may be called, for any purpose or purposes, at any time only by or at the direction of the Board, the chairperson of the Board, the Chief Executive Officer, or President.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Director Nominations and Stockholder Proposals</w:t>
      </w:r>
    </w:p>
    <w:p>
      <w:pPr>
        <w:spacing w:after="0" w:line="202"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4"/>
          <w:szCs w:val="14"/>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the Company with certain information. Generally, to be timely, a stockholder’s notice relating to any nomination or other business to be brought before an annual meeting must be delivered to the Secretary at the Company’s principal executive offices not less than 90 days nor more than 120 days prior to the one-year anniversary of the immediately preceding annual meeting of stockholders. The By-laws also specify requirements as to the form and content of a stockholder’s notice.</w:t>
      </w:r>
    </w:p>
    <w:p>
      <w:pPr>
        <w:spacing w:after="0" w:line="164"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These notice provisions may defer, delay or discourage a potential acquirer from conducting a solicitation of proxies to elect the acquirer’s own slate of directors or otherwise attempting to influence or obtain control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202"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Any action required or permitted to be taken by the stockholders may be taken only at a duly called annual or special meeting of stockholders and may not be taken by consent of the stockholders in lieu of a meeting. However,</w:t>
      </w:r>
    </w:p>
    <w:p>
      <w:pPr>
        <w:sectPr>
          <w:pgSz w:w="11900" w:h="16838" w:orient="portrait"/>
          <w:cols w:equalWidth="0" w:num="1">
            <w:col w:w="11280"/>
          </w:cols>
          <w:pgMar w:left="300" w:top="1141" w:right="319" w:bottom="1440" w:gutter="0" w:footer="0" w:header="0"/>
        </w:sectPr>
      </w:pPr>
    </w:p>
    <w:bookmarkStart w:id="150" w:name="page151"/>
    <w:bookmarkEnd w:id="150"/>
    <w:p>
      <w:pPr>
        <w:jc w:val="both"/>
        <w:spacing w:after="0" w:line="287" w:lineRule="auto"/>
        <w:rPr>
          <w:sz w:val="20"/>
          <w:szCs w:val="20"/>
          <w:color w:val="auto"/>
        </w:rPr>
      </w:pPr>
      <w:r>
        <w:rPr>
          <w:rFonts w:ascii="Times New Roman" w:cs="Times New Roman" w:eastAsia="Times New Roman" w:hAnsi="Times New Roman"/>
          <w:sz w:val="14"/>
          <w:szCs w:val="14"/>
          <w:color w:val="auto"/>
        </w:rPr>
        <w:t>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Dissenters’ Rights of Appraisal and Payment</w:t>
      </w:r>
    </w:p>
    <w:p>
      <w:pPr>
        <w:spacing w:after="0" w:line="20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Under the DGCL, with certain exceptions, the Company’s stockholders will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Stockholders’ Derivative Actions</w:t>
      </w:r>
    </w:p>
    <w:p>
      <w:pPr>
        <w:spacing w:after="0" w:line="202" w:lineRule="exact"/>
        <w:rPr>
          <w:sz w:val="20"/>
          <w:szCs w:val="20"/>
          <w:color w:val="auto"/>
        </w:rPr>
      </w:pPr>
    </w:p>
    <w:p>
      <w:pPr>
        <w:jc w:val="both"/>
        <w:ind w:firstLine="283"/>
        <w:spacing w:after="0" w:line="280" w:lineRule="auto"/>
        <w:rPr>
          <w:sz w:val="20"/>
          <w:szCs w:val="20"/>
          <w:color w:val="auto"/>
        </w:rPr>
      </w:pPr>
      <w:r>
        <w:rPr>
          <w:rFonts w:ascii="Times New Roman" w:cs="Times New Roman" w:eastAsia="Times New Roman" w:hAnsi="Times New Roman"/>
          <w:sz w:val="14"/>
          <w:szCs w:val="14"/>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the Amended and Restated Certificate of Incorporation</w:t>
      </w:r>
    </w:p>
    <w:p>
      <w:pPr>
        <w:spacing w:after="0" w:line="202"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4"/>
          <w:szCs w:val="14"/>
          <w:color w:val="auto"/>
        </w:rPr>
        <w:t>The Amended and Restated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Amended and Restated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the Company’s name, registered address or agent, or purpose.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the By-laws</w:t>
      </w:r>
    </w:p>
    <w:p>
      <w:pPr>
        <w:spacing w:after="0" w:line="20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the Company entitled to vote generally in the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 Selection</w:t>
      </w:r>
    </w:p>
    <w:p>
      <w:pPr>
        <w:spacing w:after="0" w:line="202"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4"/>
          <w:szCs w:val="14"/>
          <w:color w:val="auto"/>
        </w:rPr>
        <w:t>The Amended and Restated Certificate of Incorporation provides that, unless the Company consents in writing to the selection of an alternative forum, (a) the Chancery Court will, to the fullest extent permitted by law, be the sole and exclusive forum for (i) any derivative action, suit or proceeding brought on behalf of the Company, (ii) any action, suit or proceeding asserting a claim of breach of a fiduciary duty owed by any director, officer or stockholder of the Company to the Company or to the Company’s stockholders, (iii) any action, suit or proceeding arising pursuant to any provision of the DGCL or the By-laws or the Amended and Restated Certificate of Incorporation or (iv) any action, suit or proceeding asserting a claim against the Company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Foreign Action as agent for such stockholder. Any person purchasing or otherwise acquiring any interest in any security of the Company will be deemed to have notice of and consented to the foregoing exclusive forum</w:t>
      </w:r>
    </w:p>
    <w:p>
      <w:pPr>
        <w:sectPr>
          <w:pgSz w:w="11900" w:h="16838" w:orient="portrait"/>
          <w:cols w:equalWidth="0" w:num="1">
            <w:col w:w="11280"/>
          </w:cols>
          <w:pgMar w:left="300" w:top="1143" w:right="319" w:bottom="1440" w:gutter="0" w:footer="0" w:header="0"/>
        </w:sectPr>
      </w:pPr>
    </w:p>
    <w:bookmarkStart w:id="151" w:name="page152"/>
    <w:bookmarkEnd w:id="151"/>
    <w:p>
      <w:pPr>
        <w:jc w:val="both"/>
        <w:spacing w:after="0" w:line="287" w:lineRule="auto"/>
        <w:rPr>
          <w:sz w:val="20"/>
          <w:szCs w:val="20"/>
          <w:color w:val="auto"/>
        </w:rPr>
      </w:pPr>
      <w:r>
        <w:rPr>
          <w:rFonts w:ascii="Times New Roman" w:cs="Times New Roman" w:eastAsia="Times New Roman" w:hAnsi="Times New Roman"/>
          <w:sz w:val="14"/>
          <w:szCs w:val="14"/>
          <w:color w:val="auto"/>
        </w:rPr>
        <w:t>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202" w:lineRule="exact"/>
        <w:rPr>
          <w:sz w:val="20"/>
          <w:szCs w:val="20"/>
          <w:color w:val="auto"/>
        </w:rPr>
      </w:pPr>
    </w:p>
    <w:p>
      <w:pPr>
        <w:jc w:val="both"/>
        <w:ind w:firstLine="283"/>
        <w:spacing w:after="0" w:line="270" w:lineRule="auto"/>
        <w:rPr>
          <w:sz w:val="20"/>
          <w:szCs w:val="20"/>
          <w:color w:val="auto"/>
        </w:rPr>
      </w:pPr>
      <w:r>
        <w:rPr>
          <w:rFonts w:ascii="Times New Roman" w:cs="Times New Roman" w:eastAsia="Times New Roman" w:hAnsi="Times New Roman"/>
          <w:sz w:val="14"/>
          <w:szCs w:val="14"/>
          <w:color w:val="auto"/>
        </w:rPr>
        <w:t>The Amended and Restated Certificate of Incorporation contains provisions that limit the liability of the Company’s directors and officers for monetary damages to the fullest extent permitted by Delaware law. Consequently, the Company’s directors and officers will not be personally liable to us or our stockholders for monetary damages for any breach of fiduciary duties as directors or officers, provided that our certificate of incorporation will not limit the liability of:</w:t>
      </w:r>
    </w:p>
    <w:p>
      <w:pPr>
        <w:spacing w:after="0" w:line="136" w:lineRule="exact"/>
        <w:rPr>
          <w:sz w:val="20"/>
          <w:szCs w:val="20"/>
          <w:color w:val="auto"/>
        </w:rPr>
      </w:pPr>
    </w:p>
    <w:p>
      <w:pPr>
        <w:ind w:left="800" w:hanging="258"/>
        <w:spacing w:after="0"/>
        <w:tabs>
          <w:tab w:leader="none" w:pos="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breach of their duty of loyalty to our company or our stockholder;</w:t>
      </w:r>
    </w:p>
    <w:p>
      <w:pPr>
        <w:spacing w:after="0" w:line="199" w:lineRule="exact"/>
        <w:rPr>
          <w:rFonts w:ascii="Times New Roman" w:cs="Times New Roman" w:eastAsia="Times New Roman" w:hAnsi="Times New Roman"/>
          <w:sz w:val="14"/>
          <w:szCs w:val="14"/>
          <w:color w:val="auto"/>
        </w:rPr>
      </w:pPr>
    </w:p>
    <w:p>
      <w:pPr>
        <w:ind w:left="800" w:hanging="258"/>
        <w:spacing w:after="0"/>
        <w:tabs>
          <w:tab w:leader="none" w:pos="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act or omission not in good faith or that involves intentional misconduct or a knowing violation of law;</w:t>
      </w:r>
    </w:p>
    <w:p>
      <w:pPr>
        <w:spacing w:after="0" w:line="199" w:lineRule="exact"/>
        <w:rPr>
          <w:rFonts w:ascii="Times New Roman" w:cs="Times New Roman" w:eastAsia="Times New Roman" w:hAnsi="Times New Roman"/>
          <w:sz w:val="14"/>
          <w:szCs w:val="14"/>
          <w:color w:val="auto"/>
        </w:rPr>
      </w:pPr>
    </w:p>
    <w:p>
      <w:pPr>
        <w:ind w:left="800" w:hanging="258"/>
        <w:spacing w:after="0"/>
        <w:tabs>
          <w:tab w:leader="none" w:pos="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for unlawful payments of dividends or unlawful stock repurchases, or redemptions as provided in Section 174 of the DGCL;</w:t>
      </w:r>
    </w:p>
    <w:p>
      <w:pPr>
        <w:spacing w:after="0" w:line="199" w:lineRule="exact"/>
        <w:rPr>
          <w:rFonts w:ascii="Times New Roman" w:cs="Times New Roman" w:eastAsia="Times New Roman" w:hAnsi="Times New Roman"/>
          <w:sz w:val="14"/>
          <w:szCs w:val="14"/>
          <w:color w:val="auto"/>
        </w:rPr>
      </w:pPr>
    </w:p>
    <w:p>
      <w:pPr>
        <w:ind w:left="800" w:hanging="258"/>
        <w:spacing w:after="0"/>
        <w:tabs>
          <w:tab w:leader="none" w:pos="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or officer for any transaction from which they derived an improper personal benefit; or</w:t>
      </w:r>
    </w:p>
    <w:p>
      <w:pPr>
        <w:spacing w:after="0" w:line="199" w:lineRule="exact"/>
        <w:rPr>
          <w:rFonts w:ascii="Times New Roman" w:cs="Times New Roman" w:eastAsia="Times New Roman" w:hAnsi="Times New Roman"/>
          <w:sz w:val="14"/>
          <w:szCs w:val="14"/>
          <w:color w:val="auto"/>
        </w:rPr>
      </w:pPr>
    </w:p>
    <w:p>
      <w:pPr>
        <w:ind w:left="800" w:hanging="258"/>
        <w:spacing w:after="0"/>
        <w:tabs>
          <w:tab w:leader="none" w:pos="8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the right of the Company.</w:t>
      </w:r>
    </w:p>
    <w:p>
      <w:pPr>
        <w:spacing w:after="0" w:line="200" w:lineRule="exact"/>
        <w:rPr>
          <w:sz w:val="20"/>
          <w:szCs w:val="20"/>
          <w:color w:val="auto"/>
        </w:rPr>
      </w:pPr>
    </w:p>
    <w:p>
      <w:pPr>
        <w:jc w:val="both"/>
        <w:ind w:firstLine="283"/>
        <w:spacing w:after="0" w:line="267" w:lineRule="auto"/>
        <w:rPr>
          <w:sz w:val="20"/>
          <w:szCs w:val="20"/>
          <w:color w:val="auto"/>
        </w:rPr>
      </w:pPr>
      <w:r>
        <w:rPr>
          <w:rFonts w:ascii="Times New Roman" w:cs="Times New Roman" w:eastAsia="Times New Roman" w:hAnsi="Times New Roman"/>
          <w:sz w:val="14"/>
          <w:szCs w:val="14"/>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333" w:lineRule="exact"/>
        <w:rPr>
          <w:sz w:val="20"/>
          <w:szCs w:val="20"/>
          <w:color w:val="auto"/>
        </w:rPr>
      </w:pPr>
    </w:p>
    <w:p>
      <w:pPr>
        <w:jc w:val="both"/>
        <w:ind w:firstLine="283"/>
        <w:spacing w:after="0" w:line="28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the Company pursuant to the foregoing provisions, we have been informed that, in the opinion of the SEC, such indemnification is against public policy as expressed in the Securities Act and is therefore unenforceable.</w:t>
      </w:r>
    </w:p>
    <w:p>
      <w:pPr>
        <w:spacing w:after="0" w:line="145" w:lineRule="exact"/>
        <w:rPr>
          <w:sz w:val="20"/>
          <w:szCs w:val="20"/>
          <w:color w:val="auto"/>
        </w:rPr>
      </w:pPr>
    </w:p>
    <w:p>
      <w:pPr>
        <w:jc w:val="both"/>
        <w:ind w:firstLine="283"/>
        <w:spacing w:after="0" w:line="264" w:lineRule="auto"/>
        <w:rPr>
          <w:sz w:val="20"/>
          <w:szCs w:val="20"/>
          <w:color w:val="auto"/>
        </w:rPr>
      </w:pPr>
      <w:r>
        <w:rPr>
          <w:rFonts w:ascii="Times New Roman" w:cs="Times New Roman" w:eastAsia="Times New Roman" w:hAnsi="Times New Roman"/>
          <w:sz w:val="14"/>
          <w:szCs w:val="14"/>
          <w:color w:val="auto"/>
        </w:rPr>
        <w:t>The limitation of liability, advancement and indemnification provisions in the Amended and Restated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w:t>
      </w:r>
    </w:p>
    <w:p>
      <w:pPr>
        <w:sectPr>
          <w:pgSz w:w="11900" w:h="16838" w:orient="portrait"/>
          <w:cols w:equalWidth="0" w:num="1">
            <w:col w:w="11280"/>
          </w:cols>
          <w:pgMar w:left="300" w:top="1143" w:right="319" w:bottom="1440" w:gutter="0" w:footer="0" w:header="0"/>
        </w:sectPr>
      </w:pPr>
    </w:p>
    <w:bookmarkStart w:id="152" w:name="page153"/>
    <w:bookmarkEnd w:id="152"/>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both"/>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both"/>
        <w:spacing w:after="0" w:line="264" w:lineRule="auto"/>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GRANT OF APPRECIATION RIGHTS</w:t>
      </w:r>
    </w:p>
    <w:p>
      <w:pPr>
        <w:spacing w:after="0" w:line="349" w:lineRule="exact"/>
        <w:rPr>
          <w:sz w:val="20"/>
          <w:szCs w:val="20"/>
          <w:color w:val="auto"/>
        </w:rPr>
      </w:pPr>
    </w:p>
    <w:p>
      <w:pPr>
        <w:jc w:val="both"/>
        <w:ind w:firstLine="182"/>
        <w:spacing w:after="0" w:line="255" w:lineRule="auto"/>
        <w:rPr>
          <w:sz w:val="20"/>
          <w:szCs w:val="20"/>
          <w:color w:val="auto"/>
        </w:rPr>
      </w:pPr>
      <w:r>
        <w:rPr>
          <w:rFonts w:ascii="Times New Roman" w:cs="Times New Roman" w:eastAsia="Times New Roman" w:hAnsi="Times New Roman"/>
          <w:sz w:val="17"/>
          <w:szCs w:val="17"/>
          <w:color w:val="auto"/>
        </w:rPr>
        <w:t>Innventure,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hereby grants to the Participant the number of appreciation rights (“</w:t>
      </w:r>
      <w:r>
        <w:rPr>
          <w:rFonts w:ascii="Times New Roman" w:cs="Times New Roman" w:eastAsia="Times New Roman" w:hAnsi="Times New Roman"/>
          <w:sz w:val="17"/>
          <w:szCs w:val="17"/>
          <w:u w:val="single" w:color="auto"/>
          <w:color w:val="auto"/>
        </w:rPr>
        <w:t>Appreciation Rights</w:t>
      </w:r>
      <w:r>
        <w:rPr>
          <w:rFonts w:ascii="Times New Roman" w:cs="Times New Roman" w:eastAsia="Times New Roman" w:hAnsi="Times New Roman"/>
          <w:sz w:val="17"/>
          <w:szCs w:val="17"/>
          <w:color w:val="auto"/>
        </w:rPr>
        <w:t>”) set forth below under the Innventure, Inc. 2024 Equity and Incentive Compensation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The Appreciation Rights are being granted under Section 9 of the Plan and are subject to all of the terms and conditions in this Notice of Grant of Appreciation Rights (this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in the Appreciation Rights Agreement attached hereto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in the Plan. Capitalized terms used, but not otherwise defined, in this Grant Notice will have the meanings given to such terms in the Plan or Agreement, and the Plan and the Agreement are hereby incorporated by reference into this Grant Notice. If there are any inconsistences between this Grant Notice or the Agreement and the Plan, the terms of the Plan shall govern.</w:t>
      </w:r>
    </w:p>
    <w:p>
      <w:pPr>
        <w:sectPr>
          <w:pgSz w:w="11900" w:h="16838" w:orient="portrait"/>
          <w:cols w:equalWidth="0" w:num="1">
            <w:col w:w="11280"/>
          </w:cols>
          <w:pgMar w:left="300" w:top="104" w:right="319" w:bottom="1440" w:gutter="0" w:footer="0" w:header="0"/>
        </w:sectPr>
      </w:pP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0"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w:t>
      </w:r>
    </w:p>
    <w:p>
      <w:pPr>
        <w:spacing w:after="0" w:line="90"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Number of Appreciation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04" w:right="319" w:bottom="144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Appreciation Rights Agreement</w:t>
      </w:r>
    </w:p>
    <w:p>
      <w:pPr>
        <w:spacing w:after="0" w:line="2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7"/>
          <w:szCs w:val="17"/>
          <w:color w:val="auto"/>
        </w:rPr>
        <w:t>Innventure,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granted, pursuant to the Innventure, Inc. 2024 Equity and Incentive Compensation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to the Participant named in the Notice of Grant of Appreciation Rights (the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to which this Appreciation Rights Agreement is attached (together with the Grant Notice,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 award of Appreciation Rights under Section 9 of the Plan as set forth in such Grant Notice, subject to the terms and conditions set forth in this Agreement.</w:t>
      </w:r>
    </w:p>
    <w:p>
      <w:pPr>
        <w:spacing w:after="0" w:line="132" w:lineRule="exact"/>
        <w:rPr>
          <w:sz w:val="20"/>
          <w:szCs w:val="20"/>
          <w:color w:val="auto"/>
        </w:rPr>
      </w:pPr>
    </w:p>
    <w:p>
      <w:pPr>
        <w:ind w:firstLine="514"/>
        <w:spacing w:after="0" w:line="242" w:lineRule="auto"/>
        <w:tabs>
          <w:tab w:leader="none" w:pos="1019"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color w:val="auto"/>
        </w:rPr>
        <w:t>. Capitalized terms used, but not otherwise defined, in this Agreement will have the meanings given to such terms in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or, if not defined therein, then in the Plan. As used in this Agreement:</w:t>
      </w:r>
    </w:p>
    <w:p>
      <w:pPr>
        <w:spacing w:after="0" w:line="119" w:lineRule="exact"/>
        <w:rPr>
          <w:sz w:val="20"/>
          <w:szCs w:val="20"/>
          <w:color w:val="auto"/>
        </w:rPr>
      </w:pPr>
    </w:p>
    <w:p>
      <w:pPr>
        <w:ind w:left="1020" w:hanging="506"/>
        <w:spacing w:after="0"/>
        <w:tabs>
          <w:tab w:leader="none" w:pos="10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Accelsius</w:t>
      </w:r>
      <w:r>
        <w:rPr>
          <w:rFonts w:ascii="Times New Roman" w:cs="Times New Roman" w:eastAsia="Times New Roman" w:hAnsi="Times New Roman"/>
          <w:sz w:val="17"/>
          <w:szCs w:val="17"/>
          <w:color w:val="auto"/>
        </w:rPr>
        <w:t>” means Accelsius Holdings LLC.</w:t>
      </w:r>
    </w:p>
    <w:p>
      <w:pPr>
        <w:spacing w:after="0" w:line="144"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Price</w:t>
      </w:r>
      <w:r>
        <w:rPr>
          <w:rFonts w:ascii="Times New Roman" w:cs="Times New Roman" w:eastAsia="Times New Roman" w:hAnsi="Times New Roman"/>
          <w:sz w:val="17"/>
          <w:szCs w:val="17"/>
          <w:color w:val="auto"/>
        </w:rPr>
        <w:t>” means the fair market value (as determined by the Committee in its reasonable discretion) of a Class A Common Unit of Accelsius on the Date of Grant.</w:t>
      </w:r>
    </w:p>
    <w:p>
      <w:pPr>
        <w:spacing w:after="0" w:line="121" w:lineRule="exact"/>
        <w:rPr>
          <w:rFonts w:ascii="Times New Roman" w:cs="Times New Roman" w:eastAsia="Times New Roman" w:hAnsi="Times New Roman"/>
          <w:sz w:val="17"/>
          <w:szCs w:val="17"/>
          <w:color w:val="auto"/>
        </w:rPr>
      </w:pPr>
    </w:p>
    <w:p>
      <w:pPr>
        <w:jc w:val="both"/>
        <w:ind w:left="1020" w:hanging="506"/>
        <w:spacing w:after="0" w:line="228" w:lineRule="auto"/>
        <w:tabs>
          <w:tab w:leader="none" w:pos="10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(or similar terms) shall mean a circumstance in which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and otherwise satisfies the requirements to be disabled under Section 409A of the Code.</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Spread</w:t>
      </w:r>
      <w:r>
        <w:rPr>
          <w:rFonts w:ascii="Times New Roman" w:cs="Times New Roman" w:eastAsia="Times New Roman" w:hAnsi="Times New Roman"/>
          <w:sz w:val="17"/>
          <w:szCs w:val="17"/>
          <w:color w:val="auto"/>
        </w:rPr>
        <w:t>” means the excess of the fair market value (as determined by the Committee in its reasonable discretion) of a Class A Common Unit of Accelsius on the date when an Appreciation Right is exercised over the Base Price.</w:t>
      </w:r>
    </w:p>
    <w:p>
      <w:pPr>
        <w:spacing w:after="0" w:line="118" w:lineRule="exact"/>
        <w:rPr>
          <w:sz w:val="20"/>
          <w:szCs w:val="20"/>
          <w:color w:val="auto"/>
        </w:rPr>
      </w:pPr>
    </w:p>
    <w:p>
      <w:pPr>
        <w:jc w:val="both"/>
        <w:ind w:firstLine="514"/>
        <w:spacing w:after="0" w:line="221" w:lineRule="auto"/>
        <w:tabs>
          <w:tab w:leader="none" w:pos="10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Grant of Appreciation Rights</w:t>
      </w:r>
      <w:r>
        <w:rPr>
          <w:rFonts w:ascii="Times New Roman" w:cs="Times New Roman" w:eastAsia="Times New Roman" w:hAnsi="Times New Roman"/>
          <w:sz w:val="17"/>
          <w:szCs w:val="17"/>
          <w:color w:val="auto"/>
        </w:rPr>
        <w:t>. Subject to and upon the terms, conditions and restrictions set forth in this Agreement and in the Plan,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granted to the Participant, as of the Date of Grant, the number of Appreciation Rights set forth in the Grant Notice (the “</w:t>
      </w:r>
      <w:r>
        <w:rPr>
          <w:rFonts w:ascii="Times New Roman" w:cs="Times New Roman" w:eastAsia="Times New Roman" w:hAnsi="Times New Roman"/>
          <w:sz w:val="17"/>
          <w:szCs w:val="17"/>
          <w:u w:val="single" w:color="auto"/>
          <w:color w:val="auto"/>
        </w:rPr>
        <w:t>Appreciation Rights</w:t>
      </w:r>
      <w:r>
        <w:rPr>
          <w:rFonts w:ascii="Times New Roman" w:cs="Times New Roman" w:eastAsia="Times New Roman" w:hAnsi="Times New Roman"/>
          <w:sz w:val="17"/>
          <w:szCs w:val="17"/>
          <w:color w:val="auto"/>
        </w:rPr>
        <w:t xml:space="preserve">”). Subject to and upon the terms and conditions of this Agreement, and the Plan, each Appreciation Right shall represent the right of the Participant to receive a number of shares of Common Stock equal in value (as described in </w:t>
      </w:r>
      <w:r>
        <w:rPr>
          <w:rFonts w:ascii="Times New Roman" w:cs="Times New Roman" w:eastAsia="Times New Roman" w:hAnsi="Times New Roman"/>
          <w:sz w:val="17"/>
          <w:szCs w:val="17"/>
          <w:b w:val="1"/>
          <w:bCs w:val="1"/>
          <w:u w:val="single" w:color="auto"/>
          <w:color w:val="auto"/>
        </w:rPr>
        <w:t>Section 5</w:t>
      </w:r>
      <w:r>
        <w:rPr>
          <w:rFonts w:ascii="Times New Roman" w:cs="Times New Roman" w:eastAsia="Times New Roman" w:hAnsi="Times New Roman"/>
          <w:sz w:val="17"/>
          <w:szCs w:val="17"/>
          <w:color w:val="auto"/>
        </w:rPr>
        <w:t xml:space="preserve">) to 100% of the Spread;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Committee may, in its discretion, determine that the Participant will instead receive cash equal to 100% of the Spread.</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Restrictions on Transfer of Appreciation Rights</w:t>
      </w:r>
      <w:r>
        <w:rPr>
          <w:rFonts w:ascii="Times New Roman" w:cs="Times New Roman" w:eastAsia="Times New Roman" w:hAnsi="Times New Roman"/>
          <w:sz w:val="17"/>
          <w:szCs w:val="17"/>
          <w:color w:val="auto"/>
        </w:rPr>
        <w:t>. Subject to Section 15 of the Plan, neither the Appreciation Rights evidenced hereby nor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therein or in any shares of Common Stock payable pursuant to such Appreciation Rights shall be transferable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144"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color w:val="auto"/>
        </w:rPr>
        <w:t xml:space="preserve">payment to the Participant pursuant to </w:t>
      </w:r>
      <w:r>
        <w:rPr>
          <w:rFonts w:ascii="Times New Roman" w:cs="Times New Roman" w:eastAsia="Times New Roman" w:hAnsi="Times New Roman"/>
          <w:sz w:val="17"/>
          <w:szCs w:val="17"/>
          <w:b w:val="1"/>
          <w:bCs w:val="1"/>
          <w:u w:val="single" w:color="auto"/>
          <w:color w:val="auto"/>
        </w:rPr>
        <w:t>Section 5</w:t>
      </w:r>
      <w:r>
        <w:rPr>
          <w:rFonts w:ascii="Times New Roman" w:cs="Times New Roman" w:eastAsia="Times New Roman" w:hAnsi="Times New Roman"/>
          <w:sz w:val="17"/>
          <w:szCs w:val="17"/>
          <w:color w:val="auto"/>
        </w:rPr>
        <w:t xml:space="preserve"> hereof other than by will or pursuant to the laws of descent and distribution.</w:t>
      </w:r>
    </w:p>
    <w:p>
      <w:pPr>
        <w:spacing w:after="0" w:line="144" w:lineRule="exact"/>
        <w:rPr>
          <w:sz w:val="20"/>
          <w:szCs w:val="20"/>
          <w:color w:val="auto"/>
        </w:rPr>
      </w:pPr>
    </w:p>
    <w:p>
      <w:pPr>
        <w:ind w:firstLine="514"/>
        <w:spacing w:after="0" w:line="242" w:lineRule="auto"/>
        <w:tabs>
          <w:tab w:leader="none" w:pos="101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 of Appreciation Rights</w:t>
      </w:r>
      <w:r>
        <w:rPr>
          <w:rFonts w:ascii="Times New Roman" w:cs="Times New Roman" w:eastAsia="Times New Roman" w:hAnsi="Times New Roman"/>
          <w:sz w:val="17"/>
          <w:szCs w:val="17"/>
          <w:color w:val="auto"/>
        </w:rPr>
        <w:t>. The Appreciation Rights shall be automatically exercised upon the earliest to occur of: (i) the two-year anniversary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Date of Grant, (ii) the Participant’s death, or (iii) the Participant’s Disability.</w:t>
      </w:r>
    </w:p>
    <w:p>
      <w:pPr>
        <w:spacing w:after="0" w:line="11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Form and Time of Payment of Appreciation Rights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left="1020" w:hanging="506"/>
        <w:spacing w:after="0" w:line="228" w:lineRule="auto"/>
        <w:tabs>
          <w:tab w:leader="none" w:pos="101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for the Appreciation Rights shall be made in the form of shares of Common Stock (with the number of such shares to be equal to the aggregate Spread of the Appreciation Rights divided by the Market Value per Share on the date of payment), unless otherwise determined by the Committee.</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for the Appreciation Rights shall be made within 30 days after the earliest of the following: (i) the two-year anniversary of the Date of Grant, (ii) the Participant’s death or (iii) the Participant’s Disability.</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to the Participant with respect to the Appreciation Rights will be satisfied in full upon the issuance of shares of Common Stock (or cash, if determined by the Committee) corresponding to such Appreciation Rights.</w:t>
      </w:r>
    </w:p>
    <w:p>
      <w:pPr>
        <w:spacing w:after="0" w:line="118" w:lineRule="exact"/>
        <w:rPr>
          <w:sz w:val="20"/>
          <w:szCs w:val="20"/>
          <w:color w:val="auto"/>
        </w:rPr>
      </w:pPr>
    </w:p>
    <w:p>
      <w:pPr>
        <w:ind w:left="1020" w:hanging="506"/>
        <w:spacing w:after="0"/>
        <w:tabs>
          <w:tab w:leader="none" w:pos="10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Dividend Equivalents; Voting and Other Rights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left="1020" w:hanging="506"/>
        <w:spacing w:after="0" w:line="228" w:lineRule="auto"/>
        <w:tabs>
          <w:tab w:leader="none" w:pos="101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Participant shall have no rights of ownership in the shares of Common Stock that may be issued or transferred pursuant to the Appreciation Rights and no right to vote the shares of Common Stock that may be issued or transferred pursuant to the Appreciation Rights unless and until the date on which the shares of Common Stock underlying the Appreciation Rights are issued or transferred to the Participant pursuant to </w:t>
      </w:r>
      <w:r>
        <w:rPr>
          <w:rFonts w:ascii="Times New Roman" w:cs="Times New Roman" w:eastAsia="Times New Roman" w:hAnsi="Times New Roman"/>
          <w:sz w:val="17"/>
          <w:szCs w:val="17"/>
          <w:b w:val="1"/>
          <w:bCs w:val="1"/>
          <w:u w:val="single" w:color="auto"/>
          <w:color w:val="auto"/>
        </w:rPr>
        <w:t>Section 5</w:t>
      </w:r>
      <w:r>
        <w:rPr>
          <w:rFonts w:ascii="Times New Roman" w:cs="Times New Roman" w:eastAsia="Times New Roman" w:hAnsi="Times New Roman"/>
          <w:sz w:val="17"/>
          <w:szCs w:val="17"/>
          <w:color w:val="auto"/>
        </w:rPr>
        <w:t xml:space="preserve"> above.</w:t>
      </w:r>
    </w:p>
    <w:p>
      <w:pPr>
        <w:spacing w:after="0" w:line="12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shall not have any rights to dividends or dividend equivalents with respect to the Appreciation Rights.</w:t>
      </w:r>
    </w:p>
    <w:p>
      <w:pPr>
        <w:spacing w:after="0" w:line="144" w:lineRule="exact"/>
        <w:rPr>
          <w:rFonts w:ascii="Times New Roman" w:cs="Times New Roman" w:eastAsia="Times New Roman" w:hAnsi="Times New Roman"/>
          <w:sz w:val="17"/>
          <w:szCs w:val="17"/>
          <w:color w:val="auto"/>
        </w:rPr>
      </w:pPr>
    </w:p>
    <w:p>
      <w:pPr>
        <w:jc w:val="both"/>
        <w:ind w:left="1020" w:hanging="506"/>
        <w:spacing w:after="0" w:line="228" w:lineRule="auto"/>
        <w:tabs>
          <w:tab w:leader="none" w:pos="101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the Company under this Agreement will be merely that of an unfunded and unsecured promise of the Company to deliver shares of Common Stock in the future, and the rights of the Participant will be no greater than that of an unsecured general creditor. No assets of the Company will be held or set aside as security for the obligations of the Company under this Agreement.</w:t>
      </w:r>
    </w:p>
    <w:p>
      <w:pPr>
        <w:spacing w:after="0" w:line="118" w:lineRule="exact"/>
        <w:rPr>
          <w:sz w:val="20"/>
          <w:szCs w:val="20"/>
          <w:color w:val="auto"/>
        </w:rPr>
      </w:pPr>
    </w:p>
    <w:p>
      <w:pPr>
        <w:jc w:val="both"/>
        <w:ind w:firstLine="514"/>
        <w:spacing w:after="0" w:line="219" w:lineRule="auto"/>
        <w:tabs>
          <w:tab w:leader="none" w:pos="101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w:t>
      </w:r>
      <w:r>
        <w:rPr>
          <w:rFonts w:ascii="Times New Roman" w:cs="Times New Roman" w:eastAsia="Times New Roman" w:hAnsi="Times New Roman"/>
          <w:sz w:val="17"/>
          <w:szCs w:val="17"/>
          <w:color w:val="auto"/>
        </w:rPr>
        <w:t>. The Committee will adjust the number of Appreciation Rights covered by this Agreement or the other terms of the Appreciation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that the Committee, in its sole discretion, determines, in good faith, such adjustment is equitably required to prevent dilution or enlargement of the rights of the Participant that otherwise would result from (a) any extraordinary cash dividend, stock dividend, stock split, combination of shares, recapitalization or other change in the capital structure of Accelsius,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 To the extent that the Company is required to withhold federal, state, local, or foreign taxes or other amounts in connection with any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or benefit realized by the Participant under this Agreement, and the amounts available to the Company for such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123" w:right="319" w:bottom="1440" w:gutter="0" w:footer="0" w:header="0"/>
        </w:sectPr>
      </w:pPr>
    </w:p>
    <w:bookmarkStart w:id="166" w:name="page167"/>
    <w:bookmarkEnd w:id="166"/>
    <w:p>
      <w:pPr>
        <w:jc w:val="both"/>
        <w:spacing w:after="0" w:line="215" w:lineRule="auto"/>
        <w:rPr>
          <w:sz w:val="20"/>
          <w:szCs w:val="20"/>
          <w:color w:val="auto"/>
        </w:rPr>
      </w:pPr>
      <w:r>
        <w:rPr>
          <w:rFonts w:ascii="Times New Roman" w:cs="Times New Roman" w:eastAsia="Times New Roman" w:hAnsi="Times New Roman"/>
          <w:sz w:val="17"/>
          <w:szCs w:val="17"/>
          <w:color w:val="auto"/>
        </w:rPr>
        <w:t xml:space="preserve">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cash, then the Company will withhold from such cash the amount required to be withheld. If the Participant’s benefit is to be received in the form of shares of Common Stock, then, unless otherwise determined by the Committee, the Company will withhold shares of Common Stock having a value equal to the amount required to be withheld. The shares of Common Stock used for tax or other withholding will be valued at an amount equal to the fair market value of such shares of Common Stock on the date the benefit is to be included in the Participant’s income. In no event will the market value of Common Stock to be withheld pursuant to this </w:t>
      </w:r>
      <w:r>
        <w:rPr>
          <w:rFonts w:ascii="Times New Roman" w:cs="Times New Roman" w:eastAsia="Times New Roman" w:hAnsi="Times New Roman"/>
          <w:sz w:val="17"/>
          <w:szCs w:val="17"/>
          <w:b w:val="1"/>
          <w:bCs w:val="1"/>
          <w:u w:val="single" w:color="auto"/>
          <w:color w:val="auto"/>
        </w:rPr>
        <w:t>Section 8</w:t>
      </w:r>
      <w:r>
        <w:rPr>
          <w:rFonts w:ascii="Times New Roman" w:cs="Times New Roman" w:eastAsia="Times New Roman" w:hAnsi="Times New Roman"/>
          <w:sz w:val="17"/>
          <w:szCs w:val="17"/>
          <w:color w:val="auto"/>
        </w:rPr>
        <w:t xml:space="preserve"> to satisfy applicable withholding taxes or other amounts exceed the minimum amount of taxes required to be withheld. Notwithstanding any other provision of this Agreement, the Company shall not be obligated to guarantee any particular tax result for the Participant with respect to any payment provided to the Participant hereunder, and the Participant shall be responsible for any taxes imposed on the Participant with respect to any such payment.</w:t>
      </w:r>
    </w:p>
    <w:p>
      <w:pPr>
        <w:spacing w:after="0" w:line="117" w:lineRule="exact"/>
        <w:rPr>
          <w:sz w:val="20"/>
          <w:szCs w:val="20"/>
          <w:color w:val="auto"/>
        </w:rPr>
      </w:pPr>
    </w:p>
    <w:p>
      <w:pPr>
        <w:ind w:left="1020" w:hanging="506"/>
        <w:spacing w:after="0"/>
        <w:tabs>
          <w:tab w:leader="none" w:pos="10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Law</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020" w:right="220" w:hanging="506"/>
        <w:spacing w:after="0" w:line="228" w:lineRule="auto"/>
        <w:tabs>
          <w:tab w:leader="none" w:pos="101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make reasonable efforts to comply with all applicable federal and state securities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notwithstanding any other provision of the Plan and this Agreement, the Company shall not be obligated to issue any shares of Common Stock pursuant to this Agreement if the issuance thereof would result in a violation of any such law.</w:t>
      </w:r>
    </w:p>
    <w:p>
      <w:pPr>
        <w:spacing w:after="0" w:line="121" w:lineRule="exact"/>
        <w:rPr>
          <w:rFonts w:ascii="Times New Roman" w:cs="Times New Roman" w:eastAsia="Times New Roman" w:hAnsi="Times New Roman"/>
          <w:sz w:val="17"/>
          <w:szCs w:val="17"/>
          <w:color w:val="auto"/>
        </w:rPr>
      </w:pPr>
    </w:p>
    <w:p>
      <w:pPr>
        <w:jc w:val="both"/>
        <w:ind w:left="1020" w:hanging="506"/>
        <w:spacing w:after="0" w:line="217" w:lineRule="auto"/>
        <w:tabs>
          <w:tab w:leader="none" w:pos="101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17" w:lineRule="exact"/>
        <w:rPr>
          <w:sz w:val="20"/>
          <w:szCs w:val="20"/>
          <w:color w:val="auto"/>
        </w:rPr>
      </w:pPr>
    </w:p>
    <w:p>
      <w:pPr>
        <w:jc w:val="both"/>
        <w:ind w:firstLine="514"/>
        <w:spacing w:after="0" w:line="219" w:lineRule="auto"/>
        <w:tabs>
          <w:tab w:leader="none" w:pos="10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 of the Code</w:t>
      </w:r>
      <w:r>
        <w:rPr>
          <w:rFonts w:ascii="Times New Roman" w:cs="Times New Roman" w:eastAsia="Times New Roman" w:hAnsi="Times New Roman"/>
          <w:sz w:val="17"/>
          <w:szCs w:val="17"/>
          <w:color w:val="auto"/>
        </w:rPr>
        <w:t>. To the extent applicable, it is intended that this Agreement and the Plan comply with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Appreciation Rights.</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reference in this Agreement to Section 409A of the Code will also include any proposed, temporary or final regulations,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guidance,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126"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color w:val="auto"/>
        </w:rPr>
        <w:t>promulgated with respect to such Section by the U.S. Department of the Treasury or the Internal Revenue Service.</w:t>
      </w:r>
    </w:p>
    <w:p>
      <w:pPr>
        <w:spacing w:after="0" w:line="140" w:lineRule="exact"/>
        <w:rPr>
          <w:sz w:val="20"/>
          <w:szCs w:val="20"/>
          <w:color w:val="auto"/>
        </w:rPr>
      </w:pPr>
    </w:p>
    <w:p>
      <w:pPr>
        <w:jc w:val="both"/>
        <w:ind w:firstLine="514"/>
        <w:spacing w:after="0" w:line="219"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Right to Future Awards or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grant of the Appreciation Rights under this Agreement to the Participant is a voluntary, discretionary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being made on a one-time basis and it does not constitute a commitment to make any future awards. The grant of the Appreciation Rights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Relation to Other Benefits</w:t>
      </w:r>
      <w:r>
        <w:rPr>
          <w:rFonts w:ascii="Times New Roman" w:cs="Times New Roman" w:eastAsia="Times New Roman" w:hAnsi="Times New Roman"/>
          <w:sz w:val="17"/>
          <w:szCs w:val="17"/>
          <w:color w:val="auto"/>
        </w:rPr>
        <w:t>. Any economic or other benefit to the Participant under this Agreement or the Plan shall not be taken into account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determining any benefits to which the Participant may be entitled under any other compensatory arrangement maintained by the Company or any of its Subsidiaries.</w:t>
      </w:r>
    </w:p>
    <w:p>
      <w:pPr>
        <w:spacing w:after="0" w:line="115"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color w:val="auto"/>
        </w:rPr>
        <w:t>. Any amendment to the Plan shall be deemed to be an amendment to this Agreement to the extent that the amendment is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amendment shall adversely affect the rights of the Participant under this Agreement without the Participant’s written consent, and the Participant’s consent shall not be required to an amendment that is deemed necessary by the Company to ensure compliance with Section 409A of the Code or Section 10D of the Exchange Act.</w:t>
      </w:r>
    </w:p>
    <w:p>
      <w:pPr>
        <w:spacing w:after="0" w:line="118" w:lineRule="exact"/>
        <w:rPr>
          <w:rFonts w:ascii="Times New Roman" w:cs="Times New Roman" w:eastAsia="Times New Roman" w:hAnsi="Times New Roman"/>
          <w:sz w:val="17"/>
          <w:szCs w:val="17"/>
          <w:color w:val="auto"/>
        </w:rPr>
      </w:pPr>
    </w:p>
    <w:p>
      <w:pPr>
        <w:jc w:val="both"/>
        <w:ind w:firstLine="514"/>
        <w:spacing w:after="0" w:line="230"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In the event that one or more of the provisions of this Agreement shall be invalidated for any reason by a court of competent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provision so invalidated shall be deemed to be separable from the other provisions hereof, and the remaining provisions hereof shall continue to be valid and fully enforceable.</w:t>
      </w:r>
    </w:p>
    <w:p>
      <w:pPr>
        <w:spacing w:after="0" w:line="117"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Relation to Plan</w:t>
      </w:r>
      <w:r>
        <w:rPr>
          <w:rFonts w:ascii="Times New Roman" w:cs="Times New Roman" w:eastAsia="Times New Roman" w:hAnsi="Times New Roman"/>
          <w:sz w:val="17"/>
          <w:szCs w:val="17"/>
          <w:color w:val="auto"/>
        </w:rPr>
        <w:t>. The Appreciation Rights granted under this Agreement and all of the terms and conditions hereof are subject to all of the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of the Plan. In the event of any inconsistency between this Agreement and the Plan, the terms of the Plan will govern. The Committee acting pursuant to the Plan, as constituted from time to time, shall, except as expressly provided otherwise herein or in the Plan, have the right to determine any questions which arise in connection with this Agreement.</w:t>
      </w:r>
    </w:p>
    <w:p>
      <w:pPr>
        <w:spacing w:after="0" w:line="118" w:lineRule="exact"/>
        <w:rPr>
          <w:rFonts w:ascii="Times New Roman" w:cs="Times New Roman" w:eastAsia="Times New Roman" w:hAnsi="Times New Roman"/>
          <w:sz w:val="17"/>
          <w:szCs w:val="17"/>
          <w:color w:val="auto"/>
        </w:rPr>
      </w:pPr>
    </w:p>
    <w:p>
      <w:pPr>
        <w:jc w:val="both"/>
        <w:ind w:firstLine="514"/>
        <w:spacing w:after="0" w:line="212" w:lineRule="auto"/>
        <w:tabs>
          <w:tab w:leader="none" w:pos="101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Clawback</w:t>
      </w:r>
      <w:r>
        <w:rPr>
          <w:rFonts w:ascii="Times New Roman" w:cs="Times New Roman" w:eastAsia="Times New Roman" w:hAnsi="Times New Roman"/>
          <w:sz w:val="17"/>
          <w:szCs w:val="17"/>
          <w:color w:val="auto"/>
        </w:rPr>
        <w:t>. The Participant acknowledges and agrees that the terms and conditions set forth in the Innventure, Inc. Compensation Clawback Policy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amended and restated from time to time, the “</w:t>
      </w: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are incorporated in this Agreement by reference. To the extent the Clawback Policy is applicable to the Participant, it creates additional rights for the Company with respect to applicable compensation, including, without limitation, annual cash incentive compensation and long-term incentive compensation awards granted to the Participant by the Company. Notwithstanding any provisions in this Agreement to the contrary, applicable compensation, including, without limitation, annual cash incentive compensation and long-term incentive compensation, will be subject to potential mandatory cancellation, forfeiture and/or repayment by the Participant to the Company to the extent the Participant is, or in the future becomes, subject to</w:t>
      </w:r>
    </w:p>
    <w:p>
      <w:pPr>
        <w:spacing w:after="0" w:line="4" w:lineRule="exact"/>
        <w:rPr>
          <w:rFonts w:ascii="Times New Roman" w:cs="Times New Roman" w:eastAsia="Times New Roman" w:hAnsi="Times New Roman"/>
          <w:sz w:val="17"/>
          <w:szCs w:val="17"/>
          <w:color w:val="auto"/>
        </w:rPr>
      </w:pPr>
    </w:p>
    <w:p>
      <w:pPr>
        <w:jc w:val="both"/>
        <w:ind w:firstLine="5"/>
        <w:spacing w:after="0" w:line="218" w:lineRule="auto"/>
        <w:tabs>
          <w:tab w:leader="none" w:pos="20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Company clawback or recoupment policy, including the Clawback Policy and any other policies that are adopted by the Company, whether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127" w:right="319" w:bottom="1440" w:gutter="0" w:footer="0" w:header="0"/>
        </w:sectPr>
      </w:pPr>
    </w:p>
    <w:bookmarkStart w:id="168" w:name="page169"/>
    <w:bookmarkEnd w:id="168"/>
    <w:p>
      <w:pPr>
        <w:jc w:val="both"/>
        <w:spacing w:after="0" w:line="216" w:lineRule="auto"/>
        <w:rPr>
          <w:sz w:val="20"/>
          <w:szCs w:val="20"/>
          <w:color w:val="auto"/>
        </w:rPr>
      </w:pPr>
      <w:r>
        <w:rPr>
          <w:rFonts w:ascii="Times New Roman" w:cs="Times New Roman" w:eastAsia="Times New Roman" w:hAnsi="Times New Roman"/>
          <w:sz w:val="17"/>
          <w:szCs w:val="17"/>
          <w:color w:val="auto"/>
        </w:rPr>
        <w:t>effect from time to time, and which may operate to create additional rights for the Company with respect to awards and the recovery of amounts relating thereto. By accepting the Appreciation Right award under the Plan and pursuant to this Agreement, the Participant consents to be bound by the terms of the Clawback Policy, if applicable, and agrees and acknowledges that the Participant is obligated to cooperate with, and provide any and all assistance necessary to, the Company in its efforts to recover or recoup other applicable compensation, including, without limitation, annual cash incentive compensation and long-term incentive compensation, that is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spacing w:after="0" w:line="116" w:lineRule="exact"/>
        <w:rPr>
          <w:sz w:val="20"/>
          <w:szCs w:val="20"/>
          <w:color w:val="auto"/>
        </w:rPr>
      </w:pPr>
    </w:p>
    <w:p>
      <w:pPr>
        <w:jc w:val="both"/>
        <w:ind w:firstLine="514"/>
        <w:spacing w:after="0" w:line="224" w:lineRule="auto"/>
        <w:tabs>
          <w:tab w:leader="none" w:pos="1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Electronic Delivery</w:t>
      </w:r>
      <w:r>
        <w:rPr>
          <w:rFonts w:ascii="Times New Roman" w:cs="Times New Roman" w:eastAsia="Times New Roman" w:hAnsi="Times New Roman"/>
          <w:sz w:val="17"/>
          <w:szCs w:val="17"/>
          <w:color w:val="auto"/>
        </w:rPr>
        <w:t>. The Company may, in its sole discretion, deliver any documents related to the Appreciation Rights and the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with the internal substantive laws of the State of Delaware, without giving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to any principle of law that would result in the application of the law of any other jurisdiction.</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 Without limiting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Section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the provisions of this Agreement shall inure to the benefit of, and be binding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administrators, heirs, legal representatives and assigns of the Participant, and the successors and assigns of the Company.</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Acknowledgement</w:t>
      </w:r>
      <w:r>
        <w:rPr>
          <w:rFonts w:ascii="Times New Roman" w:cs="Times New Roman" w:eastAsia="Times New Roman" w:hAnsi="Times New Roman"/>
          <w:sz w:val="17"/>
          <w:szCs w:val="17"/>
          <w:color w:val="auto"/>
        </w:rPr>
        <w:t>. The Participant acknowledges that the Participant (a) has received a copy of the Plan, (b) has had an opportunity to review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of this Agreement and the Plan, (c) understands the terms and conditions of this Agreement and the Plan and (d) agrees to such terms and conditions.</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one or more counterparts, each of which shall be deemed to be an original but all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will constitute one and the same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Signatures on following page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1280"/>
          </w:cols>
          <w:pgMar w:left="300" w:top="1127"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color w:val="auto"/>
        </w:rPr>
        <w:t>IN WITNESS WHEREOF, the undersigned have executed this Agreement on the day and year indicated below.</w:t>
      </w:r>
    </w:p>
    <w:p>
      <w:pPr>
        <w:sectPr>
          <w:pgSz w:w="11900" w:h="16838" w:orient="portrait"/>
          <w:cols w:equalWidth="0" w:num="1">
            <w:col w:w="10159"/>
          </w:cols>
          <w:pgMar w:left="300" w:top="1148" w:right="1440" w:bottom="1440" w:gutter="0" w:footer="0" w:header="0"/>
        </w:sectPr>
      </w:pP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By:</w:t>
      </w:r>
    </w:p>
    <w:p>
      <w:pPr>
        <w:spacing w:after="0" w:line="2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Name: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Title: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Participant Acknowledgment and Acceptance</w:t>
      </w:r>
    </w:p>
    <w:p>
      <w:pPr>
        <w:spacing w:after="0" w:line="2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By:</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Print Name: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NAI-1542404898v4</w:t>
      </w:r>
    </w:p>
    <w:p>
      <w:pPr>
        <w:sectPr>
          <w:pgSz w:w="11900" w:h="16838" w:orient="portrait"/>
          <w:cols w:equalWidth="0" w:num="1">
            <w:col w:w="10159"/>
          </w:cols>
          <w:pgMar w:left="300" w:top="1148" w:right="1440"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GRANT OF CASH-SETTLED APPRECIATION RIGHTS</w:t>
      </w:r>
    </w:p>
    <w:p>
      <w:pPr>
        <w:spacing w:after="0" w:line="349" w:lineRule="exact"/>
        <w:rPr>
          <w:sz w:val="20"/>
          <w:szCs w:val="20"/>
          <w:color w:val="auto"/>
        </w:rPr>
      </w:pPr>
    </w:p>
    <w:p>
      <w:pPr>
        <w:jc w:val="both"/>
        <w:ind w:firstLine="200"/>
        <w:spacing w:after="0" w:line="258" w:lineRule="auto"/>
        <w:rPr>
          <w:sz w:val="20"/>
          <w:szCs w:val="20"/>
          <w:color w:val="auto"/>
        </w:rPr>
      </w:pPr>
      <w:r>
        <w:rPr>
          <w:rFonts w:ascii="Times New Roman" w:cs="Times New Roman" w:eastAsia="Times New Roman" w:hAnsi="Times New Roman"/>
          <w:sz w:val="17"/>
          <w:szCs w:val="17"/>
          <w:color w:val="auto"/>
        </w:rPr>
        <w:t>Innventure,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hereby grants to the participant named below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the number of appreciation rights (“</w:t>
      </w:r>
      <w:r>
        <w:rPr>
          <w:rFonts w:ascii="Times New Roman" w:cs="Times New Roman" w:eastAsia="Times New Roman" w:hAnsi="Times New Roman"/>
          <w:sz w:val="17"/>
          <w:szCs w:val="17"/>
          <w:u w:val="single" w:color="auto"/>
          <w:color w:val="auto"/>
        </w:rPr>
        <w:t>Appreciation Rights</w:t>
      </w:r>
      <w:r>
        <w:rPr>
          <w:rFonts w:ascii="Times New Roman" w:cs="Times New Roman" w:eastAsia="Times New Roman" w:hAnsi="Times New Roman"/>
          <w:sz w:val="17"/>
          <w:szCs w:val="17"/>
          <w:color w:val="auto"/>
        </w:rPr>
        <w:t>”) set forth below. The Appreciation Rights are being granted outside of any equity compensation plan of the Company and are subject to all of the terms and conditions in this Notice of Grant of Cash-Settled Appreciation Rights (this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and in the Cash-Settled Appreciation Rights Agreement attached hereto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Capitalized terms used, but not otherwise defined, in this Grant Notice will have the meanings given to such terms in the Agreement, and the Agreement is hereby incorporated by reference into this Grant Notice.</w:t>
      </w:r>
    </w:p>
    <w:p>
      <w:pPr>
        <w:sectPr>
          <w:pgSz w:w="11900" w:h="16838" w:orient="portrait"/>
          <w:cols w:equalWidth="0" w:num="1">
            <w:col w:w="11280"/>
          </w:cols>
          <w:pgMar w:left="300" w:top="104" w:right="319" w:bottom="1440" w:gutter="0" w:footer="0" w:header="0"/>
        </w:sectPr>
      </w:pP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90"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[Grant Date]</w:t>
      </w:r>
    </w:p>
    <w:p>
      <w:pPr>
        <w:spacing w:after="0" w:line="102"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Number of Appreciation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sectPr>
          <w:pgSz w:w="11900" w:h="16838" w:orient="portrait"/>
          <w:cols w:equalWidth="0" w:num="2">
            <w:col w:w="5000" w:space="720"/>
            <w:col w:w="5560"/>
          </w:cols>
          <w:pgMar w:left="300" w:top="10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1280"/>
          </w:cols>
          <w:pgMar w:left="300" w:top="104" w:right="319" w:bottom="1440"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Cash-Settled Appreciation Rights Agreement</w:t>
      </w:r>
    </w:p>
    <w:p>
      <w:pPr>
        <w:spacing w:after="0" w:line="20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Innventure,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granted to the Participant named in the Notice of Grant of Cash-Settled Appreciation Rights (the “</w:t>
      </w:r>
      <w:r>
        <w:rPr>
          <w:rFonts w:ascii="Times New Roman" w:cs="Times New Roman" w:eastAsia="Times New Roman" w:hAnsi="Times New Roman"/>
          <w:sz w:val="17"/>
          <w:szCs w:val="17"/>
          <w:u w:val="single" w:color="auto"/>
          <w:color w:val="auto"/>
        </w:rPr>
        <w:t>Grant Notice</w:t>
      </w:r>
      <w:r>
        <w:rPr>
          <w:rFonts w:ascii="Times New Roman" w:cs="Times New Roman" w:eastAsia="Times New Roman" w:hAnsi="Times New Roman"/>
          <w:sz w:val="17"/>
          <w:szCs w:val="17"/>
          <w:color w:val="auto"/>
        </w:rPr>
        <w:t>”) to which this Cash-Settled Appreciation Rights Agreement is attached (together with the Grant Notice,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 award of Appreciation Rights as set forth in such Grant Notice, subject to the terms and conditions set forth in this Agreement.</w:t>
      </w:r>
    </w:p>
    <w:p>
      <w:pPr>
        <w:spacing w:after="0" w:line="126" w:lineRule="exact"/>
        <w:rPr>
          <w:sz w:val="20"/>
          <w:szCs w:val="20"/>
          <w:color w:val="auto"/>
        </w:rPr>
      </w:pPr>
    </w:p>
    <w:p>
      <w:pPr>
        <w:ind w:firstLine="514"/>
        <w:spacing w:after="0" w:line="242" w:lineRule="auto"/>
        <w:tabs>
          <w:tab w:leader="none" w:pos="101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color w:val="auto"/>
        </w:rPr>
        <w:t>. Capitalized terms used, but not otherwise defined, in this Agreement will have the meanings given to such terms in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As used in this Agreement:</w:t>
      </w:r>
    </w:p>
    <w:p>
      <w:pPr>
        <w:spacing w:after="0" w:line="119" w:lineRule="exact"/>
        <w:rPr>
          <w:sz w:val="20"/>
          <w:szCs w:val="20"/>
          <w:color w:val="auto"/>
        </w:rPr>
      </w:pPr>
    </w:p>
    <w:p>
      <w:pPr>
        <w:ind w:left="1020" w:hanging="506"/>
        <w:spacing w:after="0"/>
        <w:tabs>
          <w:tab w:leader="none" w:pos="10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Accelsius</w:t>
      </w:r>
      <w:r>
        <w:rPr>
          <w:rFonts w:ascii="Times New Roman" w:cs="Times New Roman" w:eastAsia="Times New Roman" w:hAnsi="Times New Roman"/>
          <w:sz w:val="17"/>
          <w:szCs w:val="17"/>
          <w:color w:val="auto"/>
        </w:rPr>
        <w:t>” means Accelsius Holdings LLC.</w:t>
      </w:r>
    </w:p>
    <w:p>
      <w:pPr>
        <w:spacing w:after="0" w:line="144"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Price</w:t>
      </w:r>
      <w:r>
        <w:rPr>
          <w:rFonts w:ascii="Times New Roman" w:cs="Times New Roman" w:eastAsia="Times New Roman" w:hAnsi="Times New Roman"/>
          <w:sz w:val="17"/>
          <w:szCs w:val="17"/>
          <w:color w:val="auto"/>
        </w:rPr>
        <w:t>” means the fair market value (as determined by the Committee in its reasonable discretion) of a Class A Common Unit of Accelsius on the Date of Grant.</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7"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and the regulations thereunder, as such law and regulations may be amended from time to time.</w:t>
      </w:r>
    </w:p>
    <w:p>
      <w:pPr>
        <w:spacing w:after="0" w:line="12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Committee of the Board of Directors of the Company.</w:t>
      </w:r>
    </w:p>
    <w:p>
      <w:pPr>
        <w:spacing w:after="0" w:line="14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means the date of grant set forth in the Grant Notice.</w:t>
      </w:r>
    </w:p>
    <w:p>
      <w:pPr>
        <w:spacing w:after="0" w:line="144" w:lineRule="exact"/>
        <w:rPr>
          <w:rFonts w:ascii="Times New Roman" w:cs="Times New Roman" w:eastAsia="Times New Roman" w:hAnsi="Times New Roman"/>
          <w:sz w:val="17"/>
          <w:szCs w:val="17"/>
          <w:color w:val="auto"/>
        </w:rPr>
      </w:pPr>
    </w:p>
    <w:p>
      <w:pPr>
        <w:jc w:val="both"/>
        <w:ind w:left="1020" w:hanging="506"/>
        <w:spacing w:after="0" w:line="228" w:lineRule="auto"/>
        <w:tabs>
          <w:tab w:leader="none" w:pos="10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(or similar terms) shall mean a circumstance in which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and otherwise satisfies the requirements to be disabled under Section 409A of the Code.</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 and the rules and regulations thereunder, as such law, rules and regulations may be amended from time to time.</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Spread</w:t>
      </w:r>
      <w:r>
        <w:rPr>
          <w:rFonts w:ascii="Times New Roman" w:cs="Times New Roman" w:eastAsia="Times New Roman" w:hAnsi="Times New Roman"/>
          <w:sz w:val="17"/>
          <w:szCs w:val="17"/>
          <w:color w:val="auto"/>
        </w:rPr>
        <w:t>” means the excess of the fair market value (as determined by the Committee in its reasonable discretion) of a Class A Common Unit of Accelsius on the date when an Appreciation Right is exercised over the Base Price.</w:t>
      </w:r>
    </w:p>
    <w:p>
      <w:pPr>
        <w:spacing w:after="0" w:line="118" w:lineRule="exact"/>
        <w:rPr>
          <w:sz w:val="20"/>
          <w:szCs w:val="20"/>
          <w:color w:val="auto"/>
        </w:rPr>
      </w:pPr>
    </w:p>
    <w:p>
      <w:pPr>
        <w:jc w:val="both"/>
        <w:ind w:firstLine="514"/>
        <w:spacing w:after="0" w:line="230" w:lineRule="auto"/>
        <w:tabs>
          <w:tab w:leader="none" w:pos="101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Grant of Appreciation Rights</w:t>
      </w:r>
      <w:r>
        <w:rPr>
          <w:rFonts w:ascii="Times New Roman" w:cs="Times New Roman" w:eastAsia="Times New Roman" w:hAnsi="Times New Roman"/>
          <w:sz w:val="17"/>
          <w:szCs w:val="17"/>
          <w:color w:val="auto"/>
        </w:rPr>
        <w:t>. Subject to and upon the terms, conditions and restrictions set forth in this Agreement , the Company has granted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Participant, as of the Date of Grant, the number of Appreciation Rights set forth in the Grant Notice (the “</w:t>
      </w:r>
      <w:r>
        <w:rPr>
          <w:rFonts w:ascii="Times New Roman" w:cs="Times New Roman" w:eastAsia="Times New Roman" w:hAnsi="Times New Roman"/>
          <w:sz w:val="17"/>
          <w:szCs w:val="17"/>
          <w:u w:val="single" w:color="auto"/>
          <w:color w:val="auto"/>
        </w:rPr>
        <w:t>Appreciation Rights</w:t>
      </w:r>
      <w:r>
        <w:rPr>
          <w:rFonts w:ascii="Times New Roman" w:cs="Times New Roman" w:eastAsia="Times New Roman" w:hAnsi="Times New Roman"/>
          <w:sz w:val="17"/>
          <w:szCs w:val="17"/>
          <w:color w:val="auto"/>
        </w:rPr>
        <w:t>”). Subject to and upon the terms and conditions of this Agreement,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1280"/>
          </w:cols>
          <w:pgMar w:left="300" w:top="1144"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color w:val="auto"/>
        </w:rPr>
        <w:t>Appreciation Right shall represent the right of the Participant to receive an amount in cash equal in value to 100% of the Spread.</w:t>
      </w:r>
    </w:p>
    <w:p>
      <w:pPr>
        <w:spacing w:after="0" w:line="140" w:lineRule="exact"/>
        <w:rPr>
          <w:sz w:val="20"/>
          <w:szCs w:val="20"/>
          <w:color w:val="auto"/>
        </w:rPr>
      </w:pPr>
    </w:p>
    <w:p>
      <w:pPr>
        <w:jc w:val="both"/>
        <w:ind w:firstLine="514"/>
        <w:spacing w:after="0" w:line="230" w:lineRule="auto"/>
        <w:tabs>
          <w:tab w:leader="none" w:pos="101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Restrictions on Transfer of Appreciation Rights</w:t>
      </w:r>
      <w:r>
        <w:rPr>
          <w:rFonts w:ascii="Times New Roman" w:cs="Times New Roman" w:eastAsia="Times New Roman" w:hAnsi="Times New Roman"/>
          <w:sz w:val="17"/>
          <w:szCs w:val="17"/>
          <w:color w:val="auto"/>
        </w:rPr>
        <w:t>. Except as otherwise determined by the Committee, neither the Appreciation Rights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hereby nor any interest therein shall be transferable prior to payment to the Participant pursuant to </w:t>
      </w:r>
      <w:r>
        <w:rPr>
          <w:rFonts w:ascii="Times New Roman" w:cs="Times New Roman" w:eastAsia="Times New Roman" w:hAnsi="Times New Roman"/>
          <w:sz w:val="17"/>
          <w:szCs w:val="17"/>
          <w:b w:val="1"/>
          <w:bCs w:val="1"/>
          <w:u w:val="single" w:color="auto"/>
          <w:color w:val="auto"/>
        </w:rPr>
        <w:t>Section 5</w:t>
      </w:r>
      <w:r>
        <w:rPr>
          <w:rFonts w:ascii="Times New Roman" w:cs="Times New Roman" w:eastAsia="Times New Roman" w:hAnsi="Times New Roman"/>
          <w:sz w:val="17"/>
          <w:szCs w:val="17"/>
          <w:color w:val="auto"/>
        </w:rPr>
        <w:t xml:space="preserve"> hereof other than by will or pursuant to the laws of descent and distribution.</w:t>
      </w:r>
    </w:p>
    <w:p>
      <w:pPr>
        <w:spacing w:after="0" w:line="117"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 of Appreciation Rights</w:t>
      </w:r>
      <w:r>
        <w:rPr>
          <w:rFonts w:ascii="Times New Roman" w:cs="Times New Roman" w:eastAsia="Times New Roman" w:hAnsi="Times New Roman"/>
          <w:sz w:val="17"/>
          <w:szCs w:val="17"/>
          <w:color w:val="auto"/>
        </w:rPr>
        <w:t>. The Appreciation Rights shall be automatically exercised upon the earliest to occur of: (i) the two-year anniversary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Date of Grant, (ii) the Participant’s death, or (iii) the Participant’s Disability.</w:t>
      </w:r>
    </w:p>
    <w:p>
      <w:pPr>
        <w:spacing w:after="0" w:line="11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Form and Time of Payment of Appreciation Rights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1020" w:hanging="506"/>
        <w:spacing w:after="0" w:line="238" w:lineRule="auto"/>
        <w:tabs>
          <w:tab w:leader="none" w:pos="101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for the Appreciation Rights shall be made in the form of a lump sum cash payment in an amount equal to the aggregate Spread of the Appreciation Rights.</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for the Appreciation Rights shall be made within 30 days after the earliest of the following: (i) the two-year anniversary of the Date of Grant, (ii) the Participant’s death or (iii) the Participant’s Disability.</w:t>
      </w:r>
    </w:p>
    <w:p>
      <w:pPr>
        <w:spacing w:after="0" w:line="121" w:lineRule="exact"/>
        <w:rPr>
          <w:rFonts w:ascii="Times New Roman" w:cs="Times New Roman" w:eastAsia="Times New Roman" w:hAnsi="Times New Roman"/>
          <w:sz w:val="17"/>
          <w:szCs w:val="17"/>
          <w:color w:val="auto"/>
        </w:rPr>
      </w:pPr>
    </w:p>
    <w:p>
      <w:pPr>
        <w:ind w:left="1020" w:hanging="506"/>
        <w:spacing w:after="0" w:line="238" w:lineRule="auto"/>
        <w:tabs>
          <w:tab w:leader="none" w:pos="101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obligations to the Participant with respect to the Appreciation Rights will be satisfied in full upon the payment of cash corresponding to such Appreciation Rights by the Company.</w:t>
      </w:r>
    </w:p>
    <w:p>
      <w:pPr>
        <w:spacing w:after="0" w:line="118" w:lineRule="exact"/>
        <w:rPr>
          <w:sz w:val="20"/>
          <w:szCs w:val="20"/>
          <w:color w:val="auto"/>
        </w:rPr>
      </w:pPr>
    </w:p>
    <w:p>
      <w:pPr>
        <w:jc w:val="both"/>
        <w:ind w:firstLine="514"/>
        <w:spacing w:after="0" w:line="230" w:lineRule="auto"/>
        <w:tabs>
          <w:tab w:leader="none" w:pos="101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of the Participant</w:t>
      </w:r>
      <w:r>
        <w:rPr>
          <w:rFonts w:ascii="Times New Roman" w:cs="Times New Roman" w:eastAsia="Times New Roman" w:hAnsi="Times New Roman"/>
          <w:sz w:val="17"/>
          <w:szCs w:val="17"/>
          <w:color w:val="auto"/>
        </w:rPr>
        <w:t>. The obligation of the Company under this Agreement will be merely that of an unfunded and unsecured promise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to deliver cash in the future, and the rights of the Participant will be no greater than that of an unsecured general creditor. No assets of the Company will be held or set aside as security for the obligations of the Company under this Agreement.</w:t>
      </w:r>
    </w:p>
    <w:p>
      <w:pPr>
        <w:spacing w:after="0" w:line="117" w:lineRule="exact"/>
        <w:rPr>
          <w:rFonts w:ascii="Times New Roman" w:cs="Times New Roman" w:eastAsia="Times New Roman" w:hAnsi="Times New Roman"/>
          <w:sz w:val="17"/>
          <w:szCs w:val="17"/>
          <w:color w:val="auto"/>
        </w:rPr>
      </w:pPr>
    </w:p>
    <w:p>
      <w:pPr>
        <w:jc w:val="both"/>
        <w:ind w:firstLine="514"/>
        <w:spacing w:after="0" w:line="215" w:lineRule="auto"/>
        <w:tabs>
          <w:tab w:leader="none" w:pos="101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w:t>
      </w:r>
      <w:r>
        <w:rPr>
          <w:rFonts w:ascii="Times New Roman" w:cs="Times New Roman" w:eastAsia="Times New Roman" w:hAnsi="Times New Roman"/>
          <w:sz w:val="17"/>
          <w:szCs w:val="17"/>
          <w:color w:val="auto"/>
        </w:rPr>
        <w:t>. The Committee will adjust the number of Appreciation Rights covered by this Agreement or the other terms of the Appreciation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that the Committee, in its sole discretion, determines, in good faith, such adjustment is equitably required to prevent dilution or enlargement of the rights of the Participant that otherwise would result from (a) any extraordinary cash dividend, stock dividend, stock split, combination of shares, recapitalization or other change in the capital structure of Accelsius,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of the Company, the Committee may provide in substitution for any Appreciation Rights outstanding under this Agreement such alternative consideration, if any, as it, in good faith, may determine to be equitable in the circumstances and shall require in connection therewith the surrender of all Appreciation Rights so replaced in a manner that complies with Section 409A of the Code.</w:t>
      </w:r>
    </w:p>
    <w:p>
      <w:pPr>
        <w:spacing w:after="0" w:line="121"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 To the extent that the Company is required to withhold federal, state, local, or foreign taxes or other amounts in connection with any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or benefit realized by the Participant under this Agreement, and the amounts available to the Company for such withholding are insufficient, it shall be a condition to the receipt of such payment or the realization of such benefit that the Participant make arrangements satisfactory to the Company for payment of the balance of such taxes or other amounts required to be withheld. If the Participant’s benefit is to be received in the form of cash, then the Company will withhold from</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1280"/>
          </w:cols>
          <w:pgMar w:left="300" w:top="1127" w:right="319" w:bottom="1440" w:gutter="0" w:footer="0" w:header="0"/>
        </w:sectPr>
      </w:pPr>
    </w:p>
    <w:bookmarkStart w:id="173" w:name="page174"/>
    <w:bookmarkEnd w:id="173"/>
    <w:p>
      <w:pPr>
        <w:jc w:val="both"/>
        <w:spacing w:after="0" w:line="228" w:lineRule="auto"/>
        <w:rPr>
          <w:sz w:val="20"/>
          <w:szCs w:val="20"/>
          <w:color w:val="auto"/>
        </w:rPr>
      </w:pPr>
      <w:r>
        <w:rPr>
          <w:rFonts w:ascii="Times New Roman" w:cs="Times New Roman" w:eastAsia="Times New Roman" w:hAnsi="Times New Roman"/>
          <w:sz w:val="17"/>
          <w:szCs w:val="17"/>
          <w:color w:val="auto"/>
        </w:rPr>
        <w:t>such cash the amount required to be withheld. Notwithstanding any other provision of this Agreement, the Company shall not be obligated to guarantee any particular tax result for the Participant with respect to any payment provided to the Participant hereunder, and the Participant shall be responsible for any taxes imposed on the Participant with respect to any such payment.</w:t>
      </w:r>
    </w:p>
    <w:p>
      <w:pPr>
        <w:spacing w:after="0" w:line="118" w:lineRule="exact"/>
        <w:rPr>
          <w:sz w:val="20"/>
          <w:szCs w:val="20"/>
          <w:color w:val="auto"/>
        </w:rPr>
      </w:pPr>
    </w:p>
    <w:p>
      <w:pPr>
        <w:jc w:val="both"/>
        <w:ind w:firstLine="514"/>
        <w:spacing w:after="0" w:line="217" w:lineRule="auto"/>
        <w:tabs>
          <w:tab w:leader="none" w:pos="1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Law</w:t>
      </w:r>
      <w:r>
        <w:rPr>
          <w:rFonts w:ascii="Times New Roman" w:cs="Times New Roman" w:eastAsia="Times New Roman" w:hAnsi="Times New Roman"/>
          <w:sz w:val="17"/>
          <w:szCs w:val="17"/>
          <w:color w:val="auto"/>
        </w:rPr>
        <w:t>. Notwithstanding anything in this Agreement to the contrary, (i) nothing in this Agreement or otherwise limits the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20" w:lineRule="exact"/>
        <w:rPr>
          <w:rFonts w:ascii="Times New Roman" w:cs="Times New Roman" w:eastAsia="Times New Roman" w:hAnsi="Times New Roman"/>
          <w:sz w:val="17"/>
          <w:szCs w:val="17"/>
          <w:color w:val="auto"/>
        </w:rPr>
      </w:pPr>
    </w:p>
    <w:p>
      <w:pPr>
        <w:jc w:val="both"/>
        <w:ind w:firstLine="514"/>
        <w:spacing w:after="0" w:line="221" w:lineRule="auto"/>
        <w:tabs>
          <w:tab w:leader="none" w:pos="1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Compliance With Section 409A of the Code</w:t>
      </w:r>
      <w:r>
        <w:rPr>
          <w:rFonts w:ascii="Times New Roman" w:cs="Times New Roman" w:eastAsia="Times New Roman" w:hAnsi="Times New Roman"/>
          <w:sz w:val="17"/>
          <w:szCs w:val="17"/>
          <w:color w:val="auto"/>
        </w:rPr>
        <w:t>. To the extent applicable, it is intended that this Agreement comply with the provisions of Section 409A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Code. This Agreement shall be administered in a manner consistent with this intent, and any provision that would cause this Agreement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Notwithstanding the foregoing, the Company is not guaranteeing any particular tax outcome, and the Participant shall remain solely liable for any and all tax consequences associated with the Appreciation Rights.</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Interpretation</w:t>
      </w:r>
      <w:r>
        <w:rPr>
          <w:rFonts w:ascii="Times New Roman" w:cs="Times New Roman" w:eastAsia="Times New Roman" w:hAnsi="Times New Roman"/>
          <w:sz w:val="17"/>
          <w:szCs w:val="17"/>
          <w:color w:val="auto"/>
        </w:rPr>
        <w:t>. Any reference in this Agreement to Section 409A of the Code will also include any proposed, temporary or final regulations,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guidance, promulgated with respect to such Section by the U.S. Department of the Treasury or the Internal Revenue Service.</w:t>
      </w:r>
    </w:p>
    <w:p>
      <w:pPr>
        <w:spacing w:after="0" w:line="115" w:lineRule="exact"/>
        <w:rPr>
          <w:rFonts w:ascii="Times New Roman" w:cs="Times New Roman" w:eastAsia="Times New Roman" w:hAnsi="Times New Roman"/>
          <w:sz w:val="17"/>
          <w:szCs w:val="17"/>
          <w:color w:val="auto"/>
        </w:rPr>
      </w:pPr>
    </w:p>
    <w:p>
      <w:pPr>
        <w:jc w:val="both"/>
        <w:ind w:firstLine="514"/>
        <w:spacing w:after="0" w:line="219" w:lineRule="auto"/>
        <w:tabs>
          <w:tab w:leader="none" w:pos="1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Right to Future Awards or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grant of the Appreciation Rights under this Agreement to the Participant is a voluntary, discretionary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being made on a one-time basis and it does not constitute a commitment to make any future awards. The grant of the Appreciation Rights and any payments made hereunder will not be considered salary or other compensation for purposes of any severance pay or similar allowance, except as otherwise required by law. Nothing contained in this Agreement shall confer upon the Participant any right to provide service or continue to provide service to the Company or any of its subsidiaries, nor limit or affect in any manner the right of the Company or any of its subsidiaries to terminate the service or adjust the compensation of the Participant.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Relation to Other Benefits</w:t>
      </w:r>
      <w:r>
        <w:rPr>
          <w:rFonts w:ascii="Times New Roman" w:cs="Times New Roman" w:eastAsia="Times New Roman" w:hAnsi="Times New Roman"/>
          <w:sz w:val="17"/>
          <w:szCs w:val="17"/>
          <w:color w:val="auto"/>
        </w:rPr>
        <w:t>. Any economic or other benefit to the Participant under this Agreement shall not be taken into account in determining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to which the Participant may be entitled under any other compensatory arrangement maintained by the Company or any of its subsidiaries.</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color w:val="auto"/>
        </w:rPr>
        <w:t>. No amendment to this Agreement shall adversely affect the rights of the Participant under this Agreement without the Participant’s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consent, provided that the Participant’s consent shall not be required to an amendment that is deemed necessary by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1280"/>
          </w:cols>
          <w:pgMar w:left="300" w:top="1127" w:right="3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color w:val="auto"/>
        </w:rPr>
        <w:t>Company to ensure compliance with Section 409A of the Code or Section 10D of the Exchange Act.</w:t>
      </w:r>
    </w:p>
    <w:p>
      <w:pPr>
        <w:spacing w:after="0" w:line="140" w:lineRule="exact"/>
        <w:rPr>
          <w:sz w:val="20"/>
          <w:szCs w:val="20"/>
          <w:color w:val="auto"/>
        </w:rPr>
      </w:pPr>
    </w:p>
    <w:p>
      <w:pPr>
        <w:jc w:val="both"/>
        <w:ind w:firstLine="514"/>
        <w:spacing w:after="0" w:line="230"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In the event that one or more of the provisions of this Agreement shall be invalidated for any reason by a court of competent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provision so invalidated shall be deemed to be separable from the other provisions hereof, and the remaining provisions hereof shall continue to be valid and fully enforceable.</w:t>
      </w:r>
    </w:p>
    <w:p>
      <w:pPr>
        <w:spacing w:after="0" w:line="117" w:lineRule="exact"/>
        <w:rPr>
          <w:rFonts w:ascii="Times New Roman" w:cs="Times New Roman" w:eastAsia="Times New Roman" w:hAnsi="Times New Roman"/>
          <w:sz w:val="17"/>
          <w:szCs w:val="17"/>
          <w:color w:val="auto"/>
        </w:rPr>
      </w:pPr>
    </w:p>
    <w:p>
      <w:pPr>
        <w:jc w:val="both"/>
        <w:ind w:firstLine="514"/>
        <w:spacing w:after="0" w:line="230"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color w:val="auto"/>
        </w:rPr>
        <w:t>. This Agreement will be administered by the Committee. The interpretation and construction by the Committee of any provision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(or related documents) and any determination by the Committee pursuant to any provision of this Agreement, notification or document will be final and conclusive. No member of the Committee shall be liable for any such action or determination made in good faith.</w:t>
      </w:r>
    </w:p>
    <w:p>
      <w:pPr>
        <w:spacing w:after="0" w:line="117"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Electronic Delivery</w:t>
      </w:r>
      <w:r>
        <w:rPr>
          <w:rFonts w:ascii="Times New Roman" w:cs="Times New Roman" w:eastAsia="Times New Roman" w:hAnsi="Times New Roman"/>
          <w:sz w:val="17"/>
          <w:szCs w:val="17"/>
          <w:color w:val="auto"/>
        </w:rPr>
        <w:t>. The Company may, in its sole discretion, deliver any documents related to the Appreciation Rights by electronic means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request the Participant’s consent to the terms of this Agreement by electronic means. The Participant hereby consents to receive such documents by electronic delivery and, if requested, agrees to participate in this Agreement through an on-line or electronic system established and maintained by the Company or another third party designated by the Company.</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with the internal substantive laws of the State of Delaware, without giving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to any principle of law that would result in the application of the law of any other jurisdiction.</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 Without limiting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Section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the provisions of this Agreement shall inure to the benefit of, and be binding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administrators, heirs, legal representatives and assigns of the Participant, and the successors and assigns of the Company.</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one or more counterparts, each of which shall be deemed to be an original but all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will constitute one and the same agreement.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Signatures on following page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1280"/>
          </w:cols>
          <w:pgMar w:left="300" w:top="1127"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color w:val="auto"/>
        </w:rPr>
        <w:t>IN WITNESS WHEREOF, the undersigned have executed this Agreement on the day and year indicated below.</w:t>
      </w:r>
    </w:p>
    <w:p>
      <w:pPr>
        <w:sectPr>
          <w:pgSz w:w="11900" w:h="16838" w:orient="portrait"/>
          <w:cols w:equalWidth="0" w:num="1">
            <w:col w:w="10159"/>
          </w:cols>
          <w:pgMar w:left="300" w:top="1148" w:right="1440" w:bottom="1440" w:gutter="0" w:footer="0" w:header="0"/>
        </w:sectPr>
      </w:pPr>
    </w:p>
    <w:p>
      <w:pPr>
        <w:spacing w:after="0" w:line="3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200" w:lineRule="exact"/>
        <w:rPr>
          <w:sz w:val="20"/>
          <w:szCs w:val="20"/>
          <w:color w:val="auto"/>
        </w:rPr>
      </w:pPr>
    </w:p>
    <w:p>
      <w:pPr>
        <w:spacing w:after="0" w:line="2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By:</w:t>
      </w:r>
    </w:p>
    <w:p>
      <w:pPr>
        <w:spacing w:after="0" w:line="2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Name: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Title: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color w:val="auto"/>
        </w:rPr>
        <w:t>Participant Acknowledgment and Acceptance</w:t>
      </w:r>
    </w:p>
    <w:p>
      <w:pPr>
        <w:spacing w:after="0" w:line="2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By:</w:t>
      </w:r>
    </w:p>
    <w:p>
      <w:pPr>
        <w:spacing w:after="0" w:line="22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Print Name:</w:t>
      </w:r>
    </w:p>
    <w:p>
      <w:pPr>
        <w:spacing w:after="0" w:line="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NAI-1542446000v2</w:t>
      </w:r>
    </w:p>
    <w:p>
      <w:pPr>
        <w:sectPr>
          <w:pgSz w:w="11900" w:h="16838" w:orient="portrait"/>
          <w:cols w:equalWidth="0" w:num="1">
            <w:col w:w="10159"/>
          </w:cols>
          <w:pgMar w:left="300" w:top="1148" w:right="1440" w:bottom="1440" w:gutter="0" w:footer="0" w:header="0"/>
          <w:type w:val="continuous"/>
        </w:sectPr>
      </w:pPr>
    </w:p>
    <w:bookmarkStart w:id="176" w:name="page177"/>
    <w:bookmarkEnd w:id="176"/>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Innventure, Inc.</w:t>
      </w:r>
    </w:p>
    <w:p>
      <w:pPr>
        <w:spacing w:after="0" w:line="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2025 Short-Term Incentive Plan</w:t>
      </w:r>
    </w:p>
    <w:p>
      <w:pPr>
        <w:spacing w:after="0" w:line="3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The Board of Directors of Innventure, Inc. (“</w:t>
      </w:r>
      <w:r>
        <w:rPr>
          <w:rFonts w:ascii="Times New Roman" w:cs="Times New Roman" w:eastAsia="Times New Roman" w:hAnsi="Times New Roman"/>
          <w:sz w:val="17"/>
          <w:szCs w:val="17"/>
          <w:b w:val="1"/>
          <w:bCs w:val="1"/>
          <w:color w:val="auto"/>
        </w:rPr>
        <w:t>Innventure</w:t>
      </w:r>
      <w:r>
        <w:rPr>
          <w:rFonts w:ascii="Times New Roman" w:cs="Times New Roman" w:eastAsia="Times New Roman" w:hAnsi="Times New Roman"/>
          <w:sz w:val="17"/>
          <w:szCs w:val="17"/>
          <w:color w:val="auto"/>
        </w:rPr>
        <w:t>”) hereby establishes this 2025 Short-Term Incentive Plan (this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principal purposes of this Plan are (a) to align the interests of Innventure’s stockholders and personnel by incentivizing Innventure personnel to achieve corporate goals established by Innventure’s Board of Directors and (b) to help Innventure attract and retain key personnel.</w:t>
      </w:r>
    </w:p>
    <w:p>
      <w:pPr>
        <w:spacing w:after="0" w:line="3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Compensation Committee of Innventure’s Board of Directors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will administer and interpret this Plan. All decisions and determinations of the Committee with respect to this Plan will be final and binding on all parties.</w:t>
      </w:r>
    </w:p>
    <w:p>
      <w:pPr>
        <w:spacing w:after="0" w:line="3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Innventure’s 2025 goals under this Plan, and the relative weighting of each goal will be follows, subject to specific financial and underlying metrics to be established by the Committee: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85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2025 Goal</w:t>
            </w:r>
          </w:p>
        </w:tc>
        <w:tc>
          <w:tcPr>
            <w:tcW w:w="20" w:type="dxa"/>
            <w:vAlign w:val="bottom"/>
            <w:tcBorders>
              <w:top w:val="single" w:sz="8" w:color="auto"/>
            </w:tcBorders>
          </w:tcPr>
          <w:p>
            <w:pPr>
              <w:spacing w:after="0"/>
              <w:rPr>
                <w:sz w:val="18"/>
                <w:szCs w:val="18"/>
                <w:color w:val="auto"/>
              </w:rPr>
            </w:pPr>
          </w:p>
        </w:tc>
        <w:tc>
          <w:tcPr>
            <w:tcW w:w="27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Relative Weighting</w:t>
            </w:r>
          </w:p>
        </w:tc>
      </w:tr>
      <w:tr>
        <w:trPr>
          <w:trHeight w:val="44"/>
        </w:trPr>
        <w:tc>
          <w:tcPr>
            <w:tcW w:w="760" w:type="dxa"/>
            <w:vAlign w:val="bottom"/>
            <w:tcBorders>
              <w:top w:val="single" w:sz="8" w:color="auto"/>
              <w:left w:val="single" w:sz="8" w:color="auto"/>
              <w:bottom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32"/>
        </w:trPr>
        <w:tc>
          <w:tcPr>
            <w:tcW w:w="85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Innventure and its subsidiaries raising capital through the sale of equity and/or debt securities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40%</w:t>
            </w:r>
          </w:p>
        </w:tc>
        <w:tc>
          <w:tcPr>
            <w:tcW w:w="1320" w:type="dxa"/>
            <w:vAlign w:val="bottom"/>
            <w:tcBorders>
              <w:right w:val="single" w:sz="8" w:color="auto"/>
            </w:tcBorders>
          </w:tcPr>
          <w:p>
            <w:pPr>
              <w:spacing w:after="0"/>
              <w:rPr>
                <w:sz w:val="20"/>
                <w:szCs w:val="20"/>
                <w:color w:val="auto"/>
              </w:rPr>
            </w:pPr>
          </w:p>
        </w:tc>
      </w:tr>
      <w:tr>
        <w:trPr>
          <w:trHeight w:val="24"/>
        </w:trPr>
        <w:tc>
          <w:tcPr>
            <w:tcW w:w="760" w:type="dxa"/>
            <w:vAlign w:val="bottom"/>
            <w:tcBorders>
              <w:left w:val="single" w:sz="8" w:color="auto"/>
              <w:bottom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32"/>
        </w:trPr>
        <w:tc>
          <w:tcPr>
            <w:tcW w:w="85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Accelsius’ achievement of its 2025 revenue/bookings plan</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40%</w:t>
            </w:r>
          </w:p>
        </w:tc>
        <w:tc>
          <w:tcPr>
            <w:tcW w:w="1320" w:type="dxa"/>
            <w:vAlign w:val="bottom"/>
            <w:tcBorders>
              <w:right w:val="single" w:sz="8" w:color="auto"/>
            </w:tcBorders>
          </w:tcPr>
          <w:p>
            <w:pPr>
              <w:spacing w:after="0"/>
              <w:rPr>
                <w:sz w:val="20"/>
                <w:szCs w:val="20"/>
                <w:color w:val="auto"/>
              </w:rPr>
            </w:pPr>
          </w:p>
        </w:tc>
      </w:tr>
      <w:tr>
        <w:trPr>
          <w:trHeight w:val="24"/>
        </w:trPr>
        <w:tc>
          <w:tcPr>
            <w:tcW w:w="760" w:type="dxa"/>
            <w:vAlign w:val="bottom"/>
            <w:tcBorders>
              <w:left w:val="single" w:sz="8" w:color="auto"/>
              <w:bottom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32"/>
        </w:trPr>
        <w:tc>
          <w:tcPr>
            <w:tcW w:w="85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Management’s effective execution of strategic initiatives</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w:t>
            </w:r>
          </w:p>
        </w:tc>
        <w:tc>
          <w:tcPr>
            <w:tcW w:w="1320" w:type="dxa"/>
            <w:vAlign w:val="bottom"/>
            <w:tcBorders>
              <w:right w:val="single" w:sz="8" w:color="auto"/>
            </w:tcBorders>
          </w:tcPr>
          <w:p>
            <w:pPr>
              <w:spacing w:after="0"/>
              <w:rPr>
                <w:sz w:val="20"/>
                <w:szCs w:val="20"/>
                <w:color w:val="auto"/>
              </w:rPr>
            </w:pPr>
          </w:p>
        </w:tc>
      </w:tr>
      <w:tr>
        <w:trPr>
          <w:trHeight w:val="24"/>
        </w:trPr>
        <w:tc>
          <w:tcPr>
            <w:tcW w:w="760" w:type="dxa"/>
            <w:vAlign w:val="bottom"/>
            <w:tcBorders>
              <w:left w:val="single" w:sz="8" w:color="auto"/>
              <w:bottom w:val="single" w:sz="8" w:color="auto"/>
            </w:tcBorders>
          </w:tcPr>
          <w:p>
            <w:pPr>
              <w:spacing w:after="0"/>
              <w:rPr>
                <w:sz w:val="2"/>
                <w:szCs w:val="2"/>
                <w:color w:val="auto"/>
              </w:rPr>
            </w:pPr>
          </w:p>
        </w:tc>
        <w:tc>
          <w:tcPr>
            <w:tcW w:w="78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bl>
    <w:p>
      <w:pPr>
        <w:spacing w:after="0" w:line="3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Following the end of the 2025 year, the Committee will evaluate Innventure’s 2025 performance and determine the extent (expressed as a percentage) to which the goals set forth above were achieved (such percentage, the “</w:t>
      </w:r>
      <w:r>
        <w:rPr>
          <w:rFonts w:ascii="Times New Roman" w:cs="Times New Roman" w:eastAsia="Times New Roman" w:hAnsi="Times New Roman"/>
          <w:sz w:val="17"/>
          <w:szCs w:val="17"/>
          <w:b w:val="1"/>
          <w:bCs w:val="1"/>
          <w:color w:val="auto"/>
        </w:rPr>
        <w:t>Achievement Percentage</w:t>
      </w:r>
      <w:r>
        <w:rPr>
          <w:rFonts w:ascii="Times New Roman" w:cs="Times New Roman" w:eastAsia="Times New Roman" w:hAnsi="Times New Roman"/>
          <w:sz w:val="17"/>
          <w:szCs w:val="17"/>
          <w:color w:val="auto"/>
        </w:rPr>
        <w:t>”). The Committee will award bonuses in accordance with each individual’s Achievement Percentage under the terms of this Plan. Awards under this Plan can range from 0% to 200% of an individual’s target bonus. Payout of awards under this Plan will be subject to the individual’s continued employment with, or other provision of services to, the Company through the applicable payment date.</w:t>
      </w:r>
    </w:p>
    <w:p>
      <w:pPr>
        <w:sectPr>
          <w:pgSz w:w="11900" w:h="16838" w:orient="portrait"/>
          <w:cols w:equalWidth="0" w:num="1">
            <w:col w:w="11300"/>
          </w:cols>
          <w:pgMar w:left="300" w:top="125" w:right="299" w:bottom="1440" w:gutter="0" w:footer="0" w:header="0"/>
        </w:sectPr>
      </w:pPr>
    </w:p>
    <w:bookmarkStart w:id="177" w:name="page178"/>
    <w:bookmarkEnd w:id="177"/>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both"/>
        <w:spacing w:after="0" w:line="26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both"/>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ind w:left="1056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8120" w:type="dxa"/>
            <w:vAlign w:val="bottom"/>
            <w:gridSpan w:val="2"/>
          </w:tcPr>
          <w:p>
            <w:pPr>
              <w:jc w:val="center"/>
              <w:ind w:right="3129"/>
              <w:spacing w:after="0"/>
              <w:rPr>
                <w:sz w:val="20"/>
                <w:szCs w:val="20"/>
                <w:color w:val="auto"/>
              </w:rPr>
            </w:pPr>
            <w:r>
              <w:rPr>
                <w:rFonts w:ascii="Times New Roman" w:cs="Times New Roman" w:eastAsia="Times New Roman" w:hAnsi="Times New Roman"/>
                <w:sz w:val="14"/>
                <w:szCs w:val="14"/>
                <w:b w:val="1"/>
                <w:bCs w:val="1"/>
                <w:color w:val="auto"/>
              </w:rPr>
              <w:t>LIST OF SUBSIDIARIES OF INNVENTURE, INC.</w:t>
            </w:r>
          </w:p>
        </w:tc>
      </w:tr>
      <w:tr>
        <w:trPr>
          <w:trHeight w:val="186"/>
        </w:trPr>
        <w:tc>
          <w:tcPr>
            <w:tcW w:w="3180" w:type="dxa"/>
            <w:vAlign w:val="bottom"/>
          </w:tcPr>
          <w:p>
            <w:pPr>
              <w:spacing w:after="0"/>
              <w:rPr>
                <w:sz w:val="16"/>
                <w:szCs w:val="16"/>
                <w:color w:val="auto"/>
              </w:rPr>
            </w:pPr>
          </w:p>
        </w:tc>
        <w:tc>
          <w:tcPr>
            <w:tcW w:w="8120" w:type="dxa"/>
            <w:vAlign w:val="bottom"/>
            <w:gridSpan w:val="2"/>
          </w:tcPr>
          <w:p>
            <w:pPr>
              <w:jc w:val="center"/>
              <w:ind w:right="3109"/>
              <w:spacing w:after="0"/>
              <w:rPr>
                <w:sz w:val="20"/>
                <w:szCs w:val="20"/>
                <w:color w:val="auto"/>
              </w:rPr>
            </w:pPr>
            <w:r>
              <w:rPr>
                <w:rFonts w:ascii="Times New Roman" w:cs="Times New Roman" w:eastAsia="Times New Roman" w:hAnsi="Times New Roman"/>
                <w:sz w:val="14"/>
                <w:szCs w:val="14"/>
                <w:b w:val="1"/>
                <w:bCs w:val="1"/>
                <w:color w:val="auto"/>
              </w:rPr>
              <w:t>(As of April 14, 2025)</w:t>
            </w:r>
          </w:p>
        </w:tc>
      </w:tr>
      <w:tr>
        <w:trPr>
          <w:trHeight w:val="224"/>
        </w:trPr>
        <w:tc>
          <w:tcPr>
            <w:tcW w:w="318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r>
      <w:tr>
        <w:trPr>
          <w:trHeight w:val="174"/>
        </w:trPr>
        <w:tc>
          <w:tcPr>
            <w:tcW w:w="31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840" w:type="dxa"/>
            <w:vAlign w:val="bottom"/>
            <w:tcBorders>
              <w:right w:val="single" w:sz="8" w:color="auto"/>
            </w:tcBorders>
          </w:tcPr>
          <w:p>
            <w:pPr>
              <w:spacing w:after="0"/>
              <w:rPr>
                <w:sz w:val="15"/>
                <w:szCs w:val="15"/>
                <w:color w:val="auto"/>
              </w:rPr>
            </w:pPr>
          </w:p>
        </w:tc>
        <w:tc>
          <w:tcPr>
            <w:tcW w:w="4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of Jurisdiction of</w:t>
            </w:r>
          </w:p>
        </w:tc>
      </w:tr>
      <w:tr>
        <w:trPr>
          <w:trHeight w:val="186"/>
        </w:trPr>
        <w:tc>
          <w:tcPr>
            <w:tcW w:w="3180" w:type="dxa"/>
            <w:vAlign w:val="bottom"/>
            <w:tcBorders>
              <w:left w:val="single" w:sz="8" w:color="auto"/>
            </w:tcBorders>
          </w:tcPr>
          <w:p>
            <w:pPr>
              <w:spacing w:after="0"/>
              <w:rPr>
                <w:sz w:val="16"/>
                <w:szCs w:val="16"/>
                <w:color w:val="auto"/>
              </w:rPr>
            </w:pPr>
          </w:p>
        </w:tc>
        <w:tc>
          <w:tcPr>
            <w:tcW w:w="3840" w:type="dxa"/>
            <w:vAlign w:val="bottom"/>
            <w:tcBorders>
              <w:right w:val="single" w:sz="8" w:color="auto"/>
            </w:tcBorders>
          </w:tcPr>
          <w:p>
            <w:pPr>
              <w:spacing w:after="0"/>
              <w:rPr>
                <w:sz w:val="16"/>
                <w:szCs w:val="16"/>
                <w:color w:val="auto"/>
              </w:rPr>
            </w:pPr>
          </w:p>
        </w:tc>
        <w:tc>
          <w:tcPr>
            <w:tcW w:w="4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w:t>
            </w:r>
          </w:p>
        </w:tc>
      </w:tr>
      <w:tr>
        <w:trPr>
          <w:trHeight w:val="23"/>
        </w:trPr>
        <w:tc>
          <w:tcPr>
            <w:tcW w:w="3180" w:type="dxa"/>
            <w:vAlign w:val="bottom"/>
            <w:tcBorders>
              <w:left w:val="single" w:sz="8" w:color="auto"/>
              <w:bottom w:val="single" w:sz="8" w:color="auto"/>
            </w:tcBorders>
          </w:tcPr>
          <w:p>
            <w:pPr>
              <w:spacing w:after="0" w:line="20" w:lineRule="exact"/>
              <w:rPr>
                <w:sz w:val="1"/>
                <w:szCs w:val="1"/>
                <w:color w:val="auto"/>
              </w:rPr>
            </w:pPr>
          </w:p>
        </w:tc>
        <w:tc>
          <w:tcPr>
            <w:tcW w:w="3840" w:type="dxa"/>
            <w:vAlign w:val="bottom"/>
            <w:tcBorders>
              <w:bottom w:val="single" w:sz="8" w:color="auto"/>
              <w:right w:val="single" w:sz="8" w:color="auto"/>
            </w:tcBorders>
          </w:tcPr>
          <w:p>
            <w:pPr>
              <w:spacing w:after="0" w:line="20" w:lineRule="exact"/>
              <w:rPr>
                <w:sz w:val="1"/>
                <w:szCs w:val="1"/>
                <w:color w:val="auto"/>
              </w:rPr>
            </w:pPr>
          </w:p>
        </w:tc>
        <w:tc>
          <w:tcPr>
            <w:tcW w:w="428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Learn CW Investment Corporation</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Innventure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Innventure Management Services,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Innventure GP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AeroFlexx,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AeroFlexx Packaging Company,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182"/>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Accelsius Holdings, LLC</w:t>
            </w:r>
          </w:p>
        </w:tc>
        <w:tc>
          <w:tcPr>
            <w:tcW w:w="3840" w:type="dxa"/>
            <w:vAlign w:val="bottom"/>
            <w:tcBorders>
              <w:bottom w:val="single" w:sz="8" w:color="auto"/>
              <w:right w:val="single" w:sz="8" w:color="auto"/>
            </w:tcBorders>
          </w:tcPr>
          <w:p>
            <w:pPr>
              <w:spacing w:after="0"/>
              <w:rPr>
                <w:sz w:val="15"/>
                <w:szCs w:val="15"/>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203"/>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Accelsius LLC</w:t>
            </w:r>
          </w:p>
        </w:tc>
        <w:tc>
          <w:tcPr>
            <w:tcW w:w="384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203"/>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Refinity Holdings, LLC</w:t>
            </w:r>
          </w:p>
        </w:tc>
        <w:tc>
          <w:tcPr>
            <w:tcW w:w="384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r>
        <w:trPr>
          <w:trHeight w:val="203"/>
        </w:trPr>
        <w:tc>
          <w:tcPr>
            <w:tcW w:w="31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Refinity Olefins, LLC</w:t>
            </w:r>
          </w:p>
        </w:tc>
        <w:tc>
          <w:tcPr>
            <w:tcW w:w="3840" w:type="dxa"/>
            <w:vAlign w:val="bottom"/>
            <w:tcBorders>
              <w:bottom w:val="single" w:sz="8" w:color="auto"/>
              <w:right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300"/>
          </w:cols>
          <w:pgMar w:left="300" w:top="1141" w:right="2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Registered Public Accounting Firm</w:t>
      </w:r>
    </w:p>
    <w:p>
      <w:pPr>
        <w:spacing w:after="0" w:line="200" w:lineRule="exact"/>
        <w:rPr>
          <w:sz w:val="20"/>
          <w:szCs w:val="20"/>
          <w:color w:val="auto"/>
        </w:rPr>
      </w:pPr>
    </w:p>
    <w:p>
      <w:pPr>
        <w:spacing w:after="0" w:line="3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 on Form S-8 (No. 333-283696) of Innventure, Inc. (the Company) of our report dated April 14, 2025, relating to the consolidated financial statements, which appears in this Annual Report on Form 10-K. Our report contains an explanatory paragraph regarding the Company’s ability to continue as a going concern.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Raleigh, 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14, 2025</w:t>
      </w:r>
    </w:p>
    <w:p>
      <w:pPr>
        <w:sectPr>
          <w:pgSz w:w="11900" w:h="16838" w:orient="portrait"/>
          <w:cols w:equalWidth="0" w:num="1">
            <w:col w:w="11280"/>
          </w:cols>
          <w:pgMar w:left="300" w:top="111"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Gregory W. Haskell, certify that:</w:t>
      </w:r>
    </w:p>
    <w:p>
      <w:pPr>
        <w:spacing w:after="0" w:line="200" w:lineRule="exact"/>
        <w:rPr>
          <w:sz w:val="20"/>
          <w:szCs w:val="20"/>
          <w:color w:val="auto"/>
        </w:rPr>
      </w:pPr>
    </w:p>
    <w:p>
      <w:pPr>
        <w:ind w:left="760" w:hanging="246"/>
        <w:spacing w:after="0"/>
        <w:tabs>
          <w:tab w:leader="none" w:pos="7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Innventure, Inc.;</w:t>
      </w:r>
    </w:p>
    <w:p>
      <w:pPr>
        <w:spacing w:after="0" w:line="199" w:lineRule="exact"/>
        <w:rPr>
          <w:rFonts w:ascii="Times New Roman" w:cs="Times New Roman" w:eastAsia="Times New Roman" w:hAnsi="Times New Roman"/>
          <w:sz w:val="14"/>
          <w:szCs w:val="14"/>
          <w:color w:val="auto"/>
        </w:rPr>
      </w:pPr>
    </w:p>
    <w:p>
      <w:pPr>
        <w:ind w:left="520" w:right="480" w:hanging="6"/>
        <w:spacing w:after="0" w:line="287" w:lineRule="auto"/>
        <w:tabs>
          <w:tab w:leader="none" w:pos="76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580" w:hanging="6"/>
        <w:spacing w:after="0" w:line="287" w:lineRule="auto"/>
        <w:tabs>
          <w:tab w:leader="none" w:pos="76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140" w:hanging="6"/>
        <w:spacing w:after="0" w:line="287" w:lineRule="auto"/>
        <w:tabs>
          <w:tab w:leader="none" w:pos="76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45"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99"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4"/>
          <w:szCs w:val="14"/>
          <w:color w:val="auto"/>
        </w:rPr>
      </w:pPr>
    </w:p>
    <w:p>
      <w:pPr>
        <w:ind w:left="520" w:right="280" w:hanging="6"/>
        <w:spacing w:after="0" w:line="287" w:lineRule="auto"/>
        <w:tabs>
          <w:tab w:leader="none" w:pos="76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14,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-4445</wp:posOffset>
            </wp:positionV>
            <wp:extent cx="100393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1003935"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Gregory W. Haskell</w:t>
      </w:r>
    </w:p>
    <w:p>
      <w:pPr>
        <w:sectPr>
          <w:pgSz w:w="11900" w:h="16838" w:orient="portrait"/>
          <w:cols w:equalWidth="0" w:num="1">
            <w:col w:w="11280"/>
          </w:cols>
          <w:pgMar w:left="300" w:top="123"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0159"/>
          </w:cols>
          <w:pgMar w:left="300" w:top="1143"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Yablunosky, certify that:</w:t>
      </w:r>
    </w:p>
    <w:p>
      <w:pPr>
        <w:spacing w:after="0" w:line="200" w:lineRule="exact"/>
        <w:rPr>
          <w:sz w:val="20"/>
          <w:szCs w:val="20"/>
          <w:color w:val="auto"/>
        </w:rPr>
      </w:pPr>
    </w:p>
    <w:p>
      <w:pPr>
        <w:ind w:left="760" w:hanging="246"/>
        <w:spacing w:after="0"/>
        <w:tabs>
          <w:tab w:leader="none" w:pos="7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Innventure, Inc.;</w:t>
      </w:r>
    </w:p>
    <w:p>
      <w:pPr>
        <w:spacing w:after="0" w:line="199" w:lineRule="exact"/>
        <w:rPr>
          <w:rFonts w:ascii="Times New Roman" w:cs="Times New Roman" w:eastAsia="Times New Roman" w:hAnsi="Times New Roman"/>
          <w:sz w:val="14"/>
          <w:szCs w:val="14"/>
          <w:color w:val="auto"/>
        </w:rPr>
      </w:pPr>
    </w:p>
    <w:p>
      <w:pPr>
        <w:ind w:left="520" w:right="480" w:hanging="6"/>
        <w:spacing w:after="0" w:line="287" w:lineRule="auto"/>
        <w:tabs>
          <w:tab w:leader="none" w:pos="76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580" w:hanging="6"/>
        <w:spacing w:after="0" w:line="287" w:lineRule="auto"/>
        <w:tabs>
          <w:tab w:leader="none" w:pos="767"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140" w:hanging="6"/>
        <w:spacing w:after="0" w:line="287" w:lineRule="auto"/>
        <w:tabs>
          <w:tab w:leader="none" w:pos="765"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45"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99"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4"/>
          <w:szCs w:val="14"/>
          <w:color w:val="auto"/>
        </w:rPr>
      </w:pPr>
    </w:p>
    <w:p>
      <w:pPr>
        <w:ind w:left="520" w:right="280" w:hanging="6"/>
        <w:spacing w:after="0" w:line="287" w:lineRule="auto"/>
        <w:tabs>
          <w:tab w:leader="none" w:pos="765"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14,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-4445</wp:posOffset>
            </wp:positionV>
            <wp:extent cx="99885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998855"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Yablunosky</w:t>
      </w:r>
    </w:p>
    <w:p>
      <w:pPr>
        <w:sectPr>
          <w:pgSz w:w="11900" w:h="16838" w:orient="portrait"/>
          <w:cols w:equalWidth="0" w:num="1">
            <w:col w:w="11280"/>
          </w:cols>
          <w:pgMar w:left="300" w:top="123"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0159"/>
          </w:cols>
          <w:pgMar w:left="300" w:top="1143"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Annual Report of Innventure, Inc. (the “Company”) on Form 10-K for the year ended December 31, 2024 (the “Report”), Gregory W. Haskell, Chief Executive Officer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certifies, to the best of his knowledge, pursuant to 18 U.S.C. Section 1350, as adopted pursuant to Section 906 of the Sarbanes-Oxley Act of 2002, that:</w:t>
      </w:r>
    </w:p>
    <w:p>
      <w:pPr>
        <w:spacing w:after="0" w:line="185" w:lineRule="exact"/>
        <w:rPr>
          <w:sz w:val="20"/>
          <w:szCs w:val="20"/>
          <w:color w:val="auto"/>
        </w:rPr>
      </w:pPr>
    </w:p>
    <w:p>
      <w:pPr>
        <w:ind w:left="300" w:hanging="295"/>
        <w:spacing w:after="0"/>
        <w:tabs>
          <w:tab w:leader="none" w:pos="3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14, 2025</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-4445</wp:posOffset>
            </wp:positionV>
            <wp:extent cx="95948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959485"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Gregory W. Haskell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Annual Report of Innventure, Inc. (the “Company”) on Form 10-K for the year ended December 31, 2024 (the “Report”), David Yablunosky, Chief Financial Officer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certifies, to the best of his knowledge, pursuant to 18 U.S.C. Section 1350, as adopted pursuant to Section 906 of the Sarbanes-Oxley Act of 2002, that:</w:t>
      </w:r>
    </w:p>
    <w:p>
      <w:pPr>
        <w:spacing w:after="0" w:line="185" w:lineRule="exact"/>
        <w:rPr>
          <w:sz w:val="20"/>
          <w:szCs w:val="20"/>
          <w:color w:val="auto"/>
        </w:rPr>
      </w:pPr>
    </w:p>
    <w:p>
      <w:pPr>
        <w:ind w:left="300" w:hanging="295"/>
        <w:spacing w:after="0"/>
        <w:tabs>
          <w:tab w:leader="none" w:pos="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300" w:hanging="295"/>
        <w:spacing w:after="0"/>
        <w:tabs>
          <w:tab w:leader="none" w:pos="3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14, 2025</w:t>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-4445</wp:posOffset>
            </wp:positionV>
            <wp:extent cx="95377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953770" cy="69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David Yablunosky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3" w:right="319" w:bottom="1440"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x"/>
      <w:numFmt w:val="bullet"/>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
      <w:numFmt w:val="bullet"/>
      <w:start w:val="1"/>
    </w:lvl>
    <w:lvl w:ilvl="1">
      <w:lvlJc w:val="left"/>
      <w:lvlText w:val="•"/>
      <w:numFmt w:val="bullet"/>
      <w:start w:val="1"/>
    </w:lvl>
  </w:abstractNum>
  <w:abstractNum w:abstractNumId="9">
    <w:nsid w:val="75C6C33A"/>
    <w:multiLevelType w:val="hybridMultilevel"/>
    <w:lvl w:ilvl="0">
      <w:lvlJc w:val="left"/>
      <w:lvlText w:val="•"/>
      <w:numFmt w:val="bullet"/>
      <w:start w:val="1"/>
    </w:lvl>
    <w:lvl w:ilvl="1">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lvl w:ilvl="1">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1)"/>
      <w:numFmt w:val="lowerLetter"/>
      <w:start w:val="4"/>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decimal"/>
      <w:start w:val="7"/>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1)"/>
      <w:numFmt w:val="decimal"/>
      <w:start w:val="1"/>
    </w:lvl>
  </w:abstractNum>
  <w:abstractNum w:abstractNumId="52">
    <w:nsid w:val="661E3F1E"/>
    <w:multiLevelType w:val="hybridMultilevel"/>
    <w:lvl w:ilvl="0">
      <w:lvlJc w:val="left"/>
      <w:lvlText w:val="(%1)"/>
      <w:numFmt w:val="decimal"/>
      <w:start w:val="3"/>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1)"/>
      <w:numFmt w:val="lowerRoman"/>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decimal"/>
      <w:start w:val="1"/>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decimal"/>
      <w:start w:val="2"/>
    </w:lvl>
  </w:abstractNum>
  <w:abstractNum w:abstractNumId="71">
    <w:nsid w:val="1A27709E"/>
    <w:multiLevelType w:val="hybridMultilevel"/>
    <w:lvl w:ilvl="0">
      <w:lvlJc w:val="left"/>
      <w:lvlText w:val="%1."/>
      <w:numFmt w:val="decimal"/>
      <w:start w:val="4"/>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decimal"/>
      <w:start w:val="6"/>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decimal"/>
      <w:start w:val="7"/>
    </w:lvl>
  </w:abstractNum>
  <w:abstractNum w:abstractNumId="76">
    <w:nsid w:val="6F6DD9AC"/>
    <w:multiLevelType w:val="hybridMultilevel"/>
    <w:lvl w:ilvl="0">
      <w:lvlJc w:val="left"/>
      <w:lvlText w:val="%1."/>
      <w:numFmt w:val="decimal"/>
      <w:start w:val="9"/>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decimal"/>
      <w:start w:val="10"/>
    </w:lvl>
  </w:abstractNum>
  <w:abstractNum w:abstractNumId="79">
    <w:nsid w:val="76272110"/>
    <w:multiLevelType w:val="hybridMultilevel"/>
    <w:lvl w:ilvl="0">
      <w:lvlJc w:val="left"/>
      <w:lvlText w:val="%1"/>
      <w:numFmt w:val="lowerRoman"/>
      <w:start w:val="1"/>
    </w:lvl>
    <w:lvl w:ilvl="1">
      <w:lvlJc w:val="left"/>
      <w:lvlText w:val="%2."/>
      <w:numFmt w:val="decimal"/>
      <w:start w:val="12"/>
    </w:lvl>
  </w:abstractNum>
  <w:abstractNum w:abstractNumId="80">
    <w:nsid w:val="4C04A8AF"/>
    <w:multiLevelType w:val="hybridMultilevel"/>
    <w:lvl w:ilvl="0">
      <w:lvlJc w:val="left"/>
      <w:lvlText w:val="(%1)"/>
      <w:numFmt w:val="lowerRoman"/>
      <w:start w:val="1"/>
    </w:lvl>
    <w:lvl w:ilvl="1">
      <w:lvlJc w:val="left"/>
      <w:lvlText w:val="%2"/>
      <w:numFmt w:val="decimal"/>
      <w:start w:val="1"/>
    </w:lvl>
  </w:abstractNum>
  <w:abstractNum w:abstractNumId="81">
    <w:nsid w:val="1716703B"/>
    <w:multiLevelType w:val="hybridMultilevel"/>
    <w:lvl w:ilvl="0">
      <w:lvlJc w:val="left"/>
      <w:lvlText w:val="%1."/>
      <w:numFmt w:val="decimal"/>
      <w:start w:val="18"/>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2"/>
    </w:lvl>
  </w:abstractNum>
  <w:abstractNum w:abstractNumId="85">
    <w:nsid w:val="68EBC550"/>
    <w:multiLevelType w:val="hybridMultilevel"/>
    <w:lvl w:ilvl="0">
      <w:lvlJc w:val="left"/>
      <w:lvlText w:val="%1."/>
      <w:numFmt w:val="decimal"/>
      <w:start w:val="3"/>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decimal"/>
      <w:start w:val="6"/>
    </w:lvl>
  </w:abstractNum>
  <w:abstractNum w:abstractNumId="88">
    <w:nsid w:val="4A2AC315"/>
    <w:multiLevelType w:val="hybridMultilevel"/>
    <w:lvl w:ilvl="0">
      <w:lvlJc w:val="left"/>
      <w:lvlText w:val="%1."/>
      <w:numFmt w:val="decimal"/>
      <w:start w:val="9"/>
    </w:lvl>
  </w:abstractNum>
  <w:abstractNum w:abstractNumId="89">
    <w:nsid w:val="39EE015C"/>
    <w:multiLevelType w:val="hybridMultilevel"/>
    <w:lvl w:ilvl="0">
      <w:lvlJc w:val="left"/>
      <w:lvlText w:val="%1."/>
      <w:numFmt w:val="decimal"/>
      <w:start w:val="15"/>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02" Type="http://schemas.openxmlformats.org/officeDocument/2006/relationships/image" Target="media/image186.png"/><Relationship Id="rId217" Type="http://schemas.openxmlformats.org/officeDocument/2006/relationships/image" Target="media/image187.png"/><Relationship Id="rId233" Type="http://schemas.openxmlformats.org/officeDocument/2006/relationships/image" Target="media/image188.png"/><Relationship Id="rId249"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193" Type="http://schemas.openxmlformats.org/officeDocument/2006/relationships/hyperlink" Target="https://www.sec.gov/Archives/edgar/data/2001557/000114036124040480/ny20012992x29_s4a.htm#tANNEXA" TargetMode="External"/><Relationship Id="rId194" Type="http://schemas.openxmlformats.org/officeDocument/2006/relationships/hyperlink" Target="https://www.sec.gov/Archives/edgar/data/2001557/000114036124043179/ef20036737_ex3-1.htm" TargetMode="External"/><Relationship Id="rId195" Type="http://schemas.openxmlformats.org/officeDocument/2006/relationships/hyperlink" Target="https://www.sec.gov/Archives/edgar/data/2001557/000114036124043179/ef20036737_ex3-2.htm" TargetMode="External"/><Relationship Id="rId196" Type="http://schemas.openxmlformats.org/officeDocument/2006/relationships/hyperlink" Target="https://www.sec.gov/Archives/edgar/data/2001557/000114036124043179/ef20036737_ex3-3.htm" TargetMode="External"/><Relationship Id="rId197" Type="http://schemas.openxmlformats.org/officeDocument/2006/relationships/hyperlink" Target="https://www.sec.gov/Archives/edgar/data/2001557/000114036125010165/ef20045914_ex3-1.htm" TargetMode="External"/><Relationship Id="rId198" Type="http://schemas.openxmlformats.org/officeDocument/2006/relationships/hyperlink" Target="https://www.sec.gov/Archives/edgar/data/2001557/000114036124025505/ny20012992x12_ex4-3.htm" TargetMode="External"/><Relationship Id="rId199" Type="http://schemas.openxmlformats.org/officeDocument/2006/relationships/hyperlink" Target="https://www.sec.gov/Archives/edgar/data/2001557/000114036124025505/ny20012992x12_ex4-4.htm" TargetMode="External"/><Relationship Id="rId200" Type="http://schemas.openxmlformats.org/officeDocument/2006/relationships/hyperlink" Target="https://www.sec.gov/Archives/edgar/data/2001557/000114036124025505/ny20012992x12_ex4-5.htm" TargetMode="External"/><Relationship Id="rId201" Type="http://schemas.openxmlformats.org/officeDocument/2006/relationships/hyperlink" Target="https://www.sec.gov/Archives/edgar/data/2001557/000114036124025505/ny20012992x12_ex4-6.htm" TargetMode="External"/><Relationship Id="rId203" Type="http://schemas.openxmlformats.org/officeDocument/2006/relationships/hyperlink" Target="https://www.sec.gov/Archives/edgar/data/2001557/000114036124025505/ny20012992x12_ex4-8.htm" TargetMode="External"/><Relationship Id="rId204" Type="http://schemas.openxmlformats.org/officeDocument/2006/relationships/hyperlink" Target="https://www.sec.gov/Archives/edgar/data/2001557/000114036124044030/ef20037576_ex4-1.htm" TargetMode="External"/><Relationship Id="rId205" Type="http://schemas.openxmlformats.org/officeDocument/2006/relationships/hyperlink" Target="https://www.sec.gov/Archives/edgar/data/2001557/000114036124044030/ef20037576_ex4-2.htm" TargetMode="External"/><Relationship Id="rId206" Type="http://schemas.openxmlformats.org/officeDocument/2006/relationships/hyperlink" Target="https://www.sec.gov/Archives/edgar/data/2001557/000114036125010344/ef20045913_ex4-1.htm" TargetMode="External"/><Relationship Id="rId207" Type="http://schemas.openxmlformats.org/officeDocument/2006/relationships/hyperlink" Target="https://www.sec.gov/Archives/edgar/data/2001557/000114036125010344/ex20045913_ex4-2.htm" TargetMode="External"/><Relationship Id="rId208" Type="http://schemas.openxmlformats.org/officeDocument/2006/relationships/hyperlink" Target="https://www.sec.gov/Archives/edgar/data/2001557/000114036125010344/ef20045913_ex4-3.htm" TargetMode="External"/><Relationship Id="rId209" Type="http://schemas.openxmlformats.org/officeDocument/2006/relationships/hyperlink" Target="https://www.sec.gov/Archives/edgar/data/1847577/000114036121034554/nt10022269x10_ex10-4.htm" TargetMode="External"/><Relationship Id="rId210" Type="http://schemas.openxmlformats.org/officeDocument/2006/relationships/hyperlink" Target="https://www.sec.gov/Archives/edgar/data/2001557/000114036124004075/ny20012992x3_ex10-8.htm" TargetMode="External"/><Relationship Id="rId211" Type="http://schemas.openxmlformats.org/officeDocument/2006/relationships/hyperlink" Target="https://www.sec.gov/Archives/edgar/data/2001557/000114036124040480/ny20012992x29_s4a.htm#tANNEXD" TargetMode="External"/><Relationship Id="rId212" Type="http://schemas.openxmlformats.org/officeDocument/2006/relationships/hyperlink" Target="https://www.sec.gov/Archives/edgar/data/2001557/000114036124004075/ny20012992x3_ex10-12.htm" TargetMode="External"/><Relationship Id="rId213" Type="http://schemas.openxmlformats.org/officeDocument/2006/relationships/hyperlink" Target="https://www.sec.gov/Archives/edgar/data/2001557/000114036124004075/ny20012992x3_ex10-13.htm" TargetMode="External"/><Relationship Id="rId214" Type="http://schemas.openxmlformats.org/officeDocument/2006/relationships/hyperlink" Target="https://www.sec.gov/Archives/edgar/data/2001557/000114036124004075/ny20012992x3_ex10-14.htm" TargetMode="External"/><Relationship Id="rId215" Type="http://schemas.openxmlformats.org/officeDocument/2006/relationships/hyperlink" Target="https://www.sec.gov/Archives/edgar/data/2001557/000114036124004075/ny20012992x3_ex10-15.htm" TargetMode="External"/><Relationship Id="rId216" Type="http://schemas.openxmlformats.org/officeDocument/2006/relationships/hyperlink" Target="https://www.sec.gov/Archives/edgar/data/1847577/000114036121034554/nt10022269x10_ex10-1.htm" TargetMode="External"/><Relationship Id="rId218" Type="http://schemas.openxmlformats.org/officeDocument/2006/relationships/hyperlink" Target="https://www.sec.gov/Archives/edgar/data/2001557/000114036124019672/ny20012992x7_ex10-24.htm" TargetMode="External"/><Relationship Id="rId219" Type="http://schemas.openxmlformats.org/officeDocument/2006/relationships/hyperlink" Target="https://www.sec.gov/Archives/edgar/data/2001557/000114036124019672/ny20012992x7_ex10-25.htm" TargetMode="External"/><Relationship Id="rId220" Type="http://schemas.openxmlformats.org/officeDocument/2006/relationships/hyperlink" Target="https://www.sec.gov/Archives/edgar/data/2001557/000114036124019672/ny20012992x7_ex10-26.htm" TargetMode="External"/><Relationship Id="rId221" Type="http://schemas.openxmlformats.org/officeDocument/2006/relationships/hyperlink" Target="https://www.sec.gov/Archives/edgar/data/2001557/000114036124025505/ny20012992x12_ex10-27.htm" TargetMode="External"/><Relationship Id="rId222" Type="http://schemas.openxmlformats.org/officeDocument/2006/relationships/hyperlink" Target="https://www.sec.gov/Archives/edgar/data/1847577/000114036124000451/ef20017927_ex10-1.htm" TargetMode="External"/><Relationship Id="rId223" Type="http://schemas.openxmlformats.org/officeDocument/2006/relationships/hyperlink" Target="https://www.sec.gov/Archives/edgar/data/1847577/000114036124015028/ef20025004_ex10-1.htm" TargetMode="External"/><Relationship Id="rId224" Type="http://schemas.openxmlformats.org/officeDocument/2006/relationships/hyperlink" Target="https://www.sec.gov/Archives/edgar/data/2001557/000114036124033924/ny20012992x19_ex10-32.htm" TargetMode="External"/><Relationship Id="rId225" Type="http://schemas.openxmlformats.org/officeDocument/2006/relationships/hyperlink" Target="https://www.sec.gov/Archives/edgar/data/2001557/000114036124033924/ny20012992x19_ex10-33.htm" TargetMode="External"/><Relationship Id="rId226" Type="http://schemas.openxmlformats.org/officeDocument/2006/relationships/hyperlink" Target="https://www.sec.gov/Archives/edgar/data/2001557/000114036124030557/ny20012992x17_ex10-34.htm" TargetMode="External"/><Relationship Id="rId227" Type="http://schemas.openxmlformats.org/officeDocument/2006/relationships/hyperlink" Target="https://www.sec.gov/Archives/edgar/data/2001557/000114036124004075/ny20012992x3_ex10-28.htm" TargetMode="External"/><Relationship Id="rId228" Type="http://schemas.openxmlformats.org/officeDocument/2006/relationships/hyperlink" Target="https://www.sec.gov/Archives/edgar/data/2001557/000114036124030557/ny20012992x17_ex10-37.htm" TargetMode="External"/><Relationship Id="rId229" Type="http://schemas.openxmlformats.org/officeDocument/2006/relationships/hyperlink" Target="https://www.sec.gov/Archives/edgar/data/2001557/000114036124030557/ny20012992x17_ex10-38.htm" TargetMode="External"/><Relationship Id="rId230" Type="http://schemas.openxmlformats.org/officeDocument/2006/relationships/hyperlink" Target="https://www.sec.gov/Archives/edgar/data/2001557/000114036124030557/ny20012992x17_ex10-39.htm" TargetMode="External"/><Relationship Id="rId231" Type="http://schemas.openxmlformats.org/officeDocument/2006/relationships/hyperlink" Target="https://www.sec.gov/Archives/edgar/data/2001557/000114036124039013/ny20012992x24_ex10-46.htm" TargetMode="External"/><Relationship Id="rId232" Type="http://schemas.openxmlformats.org/officeDocument/2006/relationships/hyperlink" Target="https://www.sec.gov/Archives/edgar/data/1847577/000114036121034554/nt10022269x10_ex4-1.htm" TargetMode="External"/><Relationship Id="rId234" Type="http://schemas.openxmlformats.org/officeDocument/2006/relationships/hyperlink" Target="https://www.sec.gov/Archives/edgar/data/2001557/000114036124043179/ef20036737_ex10-2.htm" TargetMode="External"/><Relationship Id="rId235" Type="http://schemas.openxmlformats.org/officeDocument/2006/relationships/hyperlink" Target="https://www.sec.gov/Archives/edgar/data/2001557/000114036124043179/ef20036737_ex10-3.htm" TargetMode="External"/><Relationship Id="rId236" Type="http://schemas.openxmlformats.org/officeDocument/2006/relationships/hyperlink" Target="https://www.sec.gov/Archives/edgar/data/2001557/000114036124043179/ef20036737_ex10-4.htm" TargetMode="External"/><Relationship Id="rId237" Type="http://schemas.openxmlformats.org/officeDocument/2006/relationships/hyperlink" Target="https://www.sec.gov/Archives/edgar/data/2001557/000114036124043179/ef20036737_ex10-7.htm" TargetMode="External"/><Relationship Id="rId238" Type="http://schemas.openxmlformats.org/officeDocument/2006/relationships/hyperlink" Target="https://www.sec.gov/Archives/edgar/data/2001557/000114036124040480/ny20012992x29_s4a.htm#tANNEXK" TargetMode="External"/><Relationship Id="rId239" Type="http://schemas.openxmlformats.org/officeDocument/2006/relationships/hyperlink" Target="https://www.sec.gov/Archives/edgar/data/2001557/000114036124043179/ef20036737_ex10-9.htm" TargetMode="External"/><Relationship Id="rId240" Type="http://schemas.openxmlformats.org/officeDocument/2006/relationships/hyperlink" Target="https://www.sec.gov/Archives/edgar/data/2001557/000114036124043179/ef20036737_ex10-10.htm" TargetMode="External"/><Relationship Id="rId241" Type="http://schemas.openxmlformats.org/officeDocument/2006/relationships/hyperlink" Target="https://www.sec.gov/Archives/edgar/data/2001557/000114036124044030/ef20037576_ex10-1.htm" TargetMode="External"/><Relationship Id="rId242" Type="http://schemas.openxmlformats.org/officeDocument/2006/relationships/hyperlink" Target="https://www.sec.gov/Archives/edgar/data/2001557/000114036124044030/ef20037576_ex10-2.htm" TargetMode="External"/><Relationship Id="rId243" Type="http://schemas.openxmlformats.org/officeDocument/2006/relationships/hyperlink" Target="https://www.sec.gov/Archives/edgar/data/2001557/000114036124049398/ef20039943_ex10-1.htm" TargetMode="External"/><Relationship Id="rId244" Type="http://schemas.openxmlformats.org/officeDocument/2006/relationships/hyperlink" Target="https://www.sec.gov/Archives/edgar/data/2001557/000114036124049398/ef20039943_ex10-2.htm" TargetMode="External"/><Relationship Id="rId245" Type="http://schemas.openxmlformats.org/officeDocument/2006/relationships/hyperlink" Target="https://www.sec.gov/Archives/edgar/data/2001557/000114036125010165/ef20045914_ex10-1.htm" TargetMode="External"/><Relationship Id="rId246" Type="http://schemas.openxmlformats.org/officeDocument/2006/relationships/hyperlink" Target="https://www.sec.gov/Archives/edgar/data/2001557/000114036125010165/ef20045914_ex10-2.htm" TargetMode="External"/><Relationship Id="rId247" Type="http://schemas.openxmlformats.org/officeDocument/2006/relationships/hyperlink" Target="https://www.sec.gov/Archives/edgar/data/2001557/000114036125010165/ef20045914_ex10-3.htm" TargetMode="External"/><Relationship Id="rId248" Type="http://schemas.openxmlformats.org/officeDocument/2006/relationships/hyperlink" Target="https://www.sec.gov/Archives/edgar/data/2001557/000114036125010344/ef20045913_ex10-1.htm" TargetMode="External"/><Relationship Id="rId250" Type="http://schemas.openxmlformats.org/officeDocument/2006/relationships/hyperlink" Target="https://www.sec.gov/Archives/edgar/data/2001557/000114036125010344/ef20045913_ex10-2.htm" TargetMode="External"/><Relationship Id="rId251" Type="http://schemas.openxmlformats.org/officeDocument/2006/relationships/hyperlink" Target="https://www.sec.gov/Archives/edgar/data/2001557/000114036125010344/ef20045913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2025-04-14T08:10:15Z</dcterms:created>
  <dcterms:modified xsi:type="dcterms:W3CDTF">2025-04-14T08:10:15Z</dcterms:modified>
</cp:coreProperties>
</file>