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QUARTERLY REPORT PURSUANT TO SECTION 13 OR 15(d) OF THE SECURITIES EXCHANGE ACT OF 1934 </w:t>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 xml:space="preserve">For the transition period from to </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Commission file number 001-42303</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180"/>
        <w:jc w:val="center"/>
        <w:rPr>
          <w:rFonts w:ascii="Times New Roman;serif" w:hAnsi="Times New Roman;serif"/>
          <w:b/>
          <w:color w:val="000000"/>
          <w:sz w:val="36"/>
        </w:rPr>
      </w:pPr>
      <w:r>
        <w:rPr>
          <w:rFonts w:ascii="Times New Roman;serif" w:hAnsi="Times New Roman;serif"/>
          <w:b/>
          <w:color w:val="000000"/>
          <w:sz w:val="36"/>
        </w:rPr>
        <w:t>INNVENTURE,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tbl>
      <w:tblPr>
        <w:tblW w:w="6584" w:type="dxa"/>
        <w:jc w:val="left"/>
        <w:tblInd w:w="0" w:type="dxa"/>
        <w:tblLayout w:type="fixed"/>
        <w:tblCellMar>
          <w:top w:w="28" w:type="dxa"/>
          <w:left w:w="28" w:type="dxa"/>
          <w:bottom w:w="28" w:type="dxa"/>
          <w:right w:w="28" w:type="dxa"/>
        </w:tblCellMar>
      </w:tblPr>
      <w:tblGrid>
        <w:gridCol w:w="1285"/>
        <w:gridCol w:w="1129"/>
        <w:gridCol w:w="1141"/>
        <w:gridCol w:w="884"/>
        <w:gridCol w:w="884"/>
        <w:gridCol w:w="1261"/>
      </w:tblGrid>
      <w:tr>
        <w:trPr/>
        <w:tc>
          <w:tcPr>
            <w:tcW w:w="1285"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93-4440048</w:t>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or organization</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6900 Tavistock Lakes Blvd, Suite 400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Orlando, Florida</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32827</w:t>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(321) 209-6787</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29" w:type="dxa"/>
        <w:jc w:val="left"/>
        <w:tblInd w:w="0" w:type="dxa"/>
        <w:tblLayout w:type="fixed"/>
        <w:tblCellMar>
          <w:top w:w="28" w:type="dxa"/>
          <w:left w:w="28" w:type="dxa"/>
          <w:bottom w:w="28" w:type="dxa"/>
          <w:right w:w="28" w:type="dxa"/>
        </w:tblCellMar>
      </w:tblPr>
      <w:tblGrid>
        <w:gridCol w:w="1342"/>
        <w:gridCol w:w="1174"/>
        <w:gridCol w:w="1189"/>
        <w:gridCol w:w="539"/>
        <w:gridCol w:w="539"/>
        <w:gridCol w:w="541"/>
        <w:gridCol w:w="1085"/>
        <w:gridCol w:w="1085"/>
        <w:gridCol w:w="1535"/>
      </w:tblGrid>
      <w:tr>
        <w:trPr/>
        <w:tc>
          <w:tcPr>
            <w:tcW w:w="134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INV</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18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18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18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company,”and “emerging growth company” in Rule 12b-2 of the Exchange Act.</w:t>
      </w:r>
    </w:p>
    <w:tbl>
      <w:tblPr>
        <w:tblW w:w="5620" w:type="dxa"/>
        <w:jc w:val="left"/>
        <w:tblInd w:w="0" w:type="dxa"/>
        <w:tblLayout w:type="fixed"/>
        <w:tblCellMar>
          <w:top w:w="28" w:type="dxa"/>
          <w:left w:w="28" w:type="dxa"/>
          <w:bottom w:w="28" w:type="dxa"/>
          <w:right w:w="28" w:type="dxa"/>
        </w:tblCellMar>
      </w:tblPr>
      <w:tblGrid>
        <w:gridCol w:w="695"/>
        <w:gridCol w:w="611"/>
        <w:gridCol w:w="613"/>
        <w:gridCol w:w="170"/>
        <w:gridCol w:w="170"/>
        <w:gridCol w:w="170"/>
        <w:gridCol w:w="109"/>
        <w:gridCol w:w="109"/>
        <w:gridCol w:w="109"/>
        <w:gridCol w:w="769"/>
        <w:gridCol w:w="769"/>
        <w:gridCol w:w="772"/>
        <w:gridCol w:w="162"/>
        <w:gridCol w:w="162"/>
        <w:gridCol w:w="230"/>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5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5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51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 xml:space="preserve">x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55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 xml:space="preserve">x </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55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18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0" w:after="18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of November 12, 2025, the registrant had 62,471,971 shares of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553" w:type="dxa"/>
        <w:jc w:val="left"/>
        <w:tblInd w:w="0" w:type="dxa"/>
        <w:tblLayout w:type="fixed"/>
        <w:tblCellMar>
          <w:top w:w="28" w:type="dxa"/>
          <w:left w:w="28" w:type="dxa"/>
          <w:bottom w:w="28" w:type="dxa"/>
          <w:right w:w="28" w:type="dxa"/>
        </w:tblCellMar>
      </w:tblPr>
      <w:tblGrid>
        <w:gridCol w:w="500"/>
        <w:gridCol w:w="439"/>
        <w:gridCol w:w="439"/>
        <w:gridCol w:w="2447"/>
        <w:gridCol w:w="2447"/>
        <w:gridCol w:w="2471"/>
        <w:gridCol w:w="236"/>
        <w:gridCol w:w="236"/>
        <w:gridCol w:w="33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before="65" w:after="20"/>
              <w:jc w:val="center"/>
              <w:rPr/>
            </w:pPr>
            <w:r>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8743"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tc>
        <w:tc>
          <w:tcPr>
            <w:tcW w:w="810" w:type="dxa"/>
            <w:gridSpan w:val="3"/>
            <w:tcBorders>
              <w:top w:val="single" w:sz="4" w:space="0" w:color="000000"/>
            </w:tcBorders>
            <w:tcMar>
              <w:left w:w="0" w:type="dxa"/>
              <w:bottom w:w="0" w:type="dxa"/>
              <w:right w:w="0" w:type="dxa"/>
            </w:tcMar>
            <w:vAlign w:val="center"/>
          </w:tcPr>
          <w:p>
            <w:pPr>
              <w:pStyle w:val="TableContents"/>
              <w:bidi w:val="0"/>
              <w:spacing w:before="55" w:after="20"/>
              <w:jc w:val="left"/>
              <w:rPr/>
            </w:pPr>
            <w:r>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00931e569874fb1a320c87b1f8af24a_154">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Financial Statements (Unaudited)</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00931e569874fb1a320c87b1f8af24a_16">
              <w:r>
                <w:rPr>
                  <w:rStyle w:val="InternetLink"/>
                  <w:rFonts w:ascii="Times New Roman;serif" w:hAnsi="Times New Roman;serif"/>
                  <w:b w:val="false"/>
                  <w:strike w:val="false"/>
                  <w:dstrike w:val="false"/>
                  <w:color w:val="000000"/>
                  <w:sz w:val="20"/>
                  <w:u w:val="none"/>
                  <w:effect w:val="none"/>
                </w:rPr>
                <w:t>7</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00931e569874fb1a320c87b1f8af24a_172">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00931e569874fb1a320c87b1f8af24a_88">
              <w:r>
                <w:rPr>
                  <w:rStyle w:val="InternetLink"/>
                  <w:rFonts w:ascii="Times New Roman;serif" w:hAnsi="Times New Roman;serif"/>
                  <w:b w:val="false"/>
                  <w:strike w:val="false"/>
                  <w:dstrike w:val="false"/>
                  <w:color w:val="000000"/>
                  <w:sz w:val="20"/>
                  <w:u w:val="none"/>
                  <w:effect w:val="none"/>
                </w:rPr>
                <w:t>40</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00931e569874fb1a320c87b1f8af24a_118">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00931e569874fb1a320c87b1f8af24a_109">
              <w:r>
                <w:rPr>
                  <w:rStyle w:val="InternetLink"/>
                  <w:rFonts w:ascii="Times New Roman;serif" w:hAnsi="Times New Roman;serif"/>
                  <w:b w:val="false"/>
                  <w:strike w:val="false"/>
                  <w:dstrike w:val="false"/>
                  <w:color w:val="000000"/>
                  <w:sz w:val="20"/>
                  <w:u w:val="none"/>
                  <w:effect w:val="none"/>
                </w:rPr>
                <w:t>52</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00931e569874fb1a320c87b1f8af24a_175">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Controls and Procedures</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00931e569874fb1a320c87b1f8af24a_112">
              <w:r>
                <w:rPr>
                  <w:rStyle w:val="InternetLink"/>
                  <w:rFonts w:ascii="Times New Roman;serif" w:hAnsi="Times New Roman;serif"/>
                  <w:b w:val="false"/>
                  <w:strike w:val="false"/>
                  <w:dstrike w:val="false"/>
                  <w:color w:val="000000"/>
                  <w:sz w:val="20"/>
                  <w:u w:val="none"/>
                  <w:effect w:val="none"/>
                </w:rPr>
                <w:t>52</w:t>
              </w:r>
            </w:hyperlink>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3"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c00931e569874fb1a320c87b1f8af24a_115">
              <w:r>
                <w:rPr>
                  <w:rStyle w:val="InternetLink"/>
                  <w:rFonts w:ascii="Times New Roman;serif" w:hAnsi="Times New Roman;serif"/>
                  <w:b/>
                  <w:strike w:val="false"/>
                  <w:dstrike w:val="false"/>
                  <w:color w:val="000000"/>
                  <w:sz w:val="20"/>
                  <w:u w:val="none"/>
                  <w:effect w:val="none"/>
                </w:rPr>
                <w:t>PART II</w:t>
              </w:r>
            </w:hyperlink>
            <w:r>
              <w:rPr>
                <w:rFonts w:ascii="Times New Roman;serif" w:hAnsi="Times New Roman;serif"/>
                <w:b/>
                <w:color w:val="000000"/>
                <w:sz w:val="20"/>
              </w:rPr>
              <w:t xml:space="preserve"> Other Information</w:t>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00931e569874fb1a320c87b1f8af24a_124">
              <w:r>
                <w:rPr>
                  <w:rStyle w:val="InternetLink"/>
                  <w:rFonts w:ascii="Times New Roman;serif" w:hAnsi="Times New Roman;serif"/>
                  <w:b w:val="false"/>
                  <w:strike w:val="false"/>
                  <w:dstrike w:val="false"/>
                  <w:color w:val="000080"/>
                  <w:sz w:val="20"/>
                  <w:u w:val="single"/>
                  <w:effect w:val="none"/>
                </w:rPr>
                <w:t xml:space="preserve">Item </w:t>
              </w:r>
            </w:hyperlink>
            <w:hyperlink w:anchor="ic00931e569874fb1a320c87b1f8af24a_124">
              <w:r>
                <w:rPr>
                  <w:rStyle w:val="InternetLink"/>
                  <w:rFonts w:ascii="Times New Roman;serif" w:hAnsi="Times New Roman;serif"/>
                  <w:b w:val="false"/>
                  <w:strike w:val="false"/>
                  <w:dstrike w:val="false"/>
                  <w:color w:val="000080"/>
                  <w:sz w:val="20"/>
                  <w:u w:val="single"/>
                  <w:effect w:val="none"/>
                </w:rPr>
                <w:t>1</w:t>
              </w:r>
            </w:hyperlink>
            <w:hyperlink w:anchor="ic00931e569874fb1a320c87b1f8af24a_124">
              <w:r>
                <w:rPr>
                  <w:rStyle w:val="InternetLink"/>
                  <w:rFonts w:ascii="Times New Roman;serif" w:hAnsi="Times New Roman;serif"/>
                  <w:b w:val="false"/>
                  <w:strike w:val="false"/>
                  <w:dstrike w:val="false"/>
                  <w:color w:val="000080"/>
                  <w:sz w:val="20"/>
                  <w:u w:val="single"/>
                  <w:effect w:val="none"/>
                </w:rPr>
                <w:t>.</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Legal Proceedings</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00931e569874fb1a320c87b1f8af24a_118">
              <w:r>
                <w:rPr>
                  <w:rStyle w:val="InternetLink"/>
                  <w:rFonts w:ascii="Times New Roman;serif" w:hAnsi="Times New Roman;serif"/>
                  <w:b w:val="false"/>
                  <w:strike w:val="false"/>
                  <w:dstrike w:val="false"/>
                  <w:color w:val="000000"/>
                  <w:sz w:val="20"/>
                  <w:u w:val="none"/>
                  <w:effect w:val="none"/>
                </w:rPr>
                <w:t>54</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00931e569874fb1a320c87b1f8af24a_178">
              <w:r>
                <w:rPr>
                  <w:rStyle w:val="InternetLink"/>
                  <w:rFonts w:ascii="Times New Roman;serif" w:hAnsi="Times New Roman;serif"/>
                  <w:b w:val="false"/>
                  <w:strike w:val="false"/>
                  <w:dstrike w:val="false"/>
                  <w:color w:val="000000"/>
                  <w:sz w:val="20"/>
                  <w:u w:val="none"/>
                  <w:effect w:val="non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00931e569874fb1a320c87b1f8af24a_121">
              <w:r>
                <w:rPr>
                  <w:rStyle w:val="InternetLink"/>
                  <w:rFonts w:ascii="Times New Roman;serif" w:hAnsi="Times New Roman;serif"/>
                  <w:b w:val="false"/>
                  <w:strike w:val="false"/>
                  <w:dstrike w:val="false"/>
                  <w:color w:val="000000"/>
                  <w:sz w:val="20"/>
                  <w:u w:val="none"/>
                  <w:effect w:val="none"/>
                </w:rPr>
                <w:t>54</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00931e569874fb1a320c87b1f8af24a_88">
              <w:r>
                <w:rPr>
                  <w:rStyle w:val="InternetLink"/>
                  <w:rFonts w:ascii="Times New Roman;serif" w:hAnsi="Times New Roman;serif"/>
                  <w:b w:val="false"/>
                  <w:strike w:val="false"/>
                  <w:dstrike w:val="false"/>
                  <w:color w:val="000080"/>
                  <w:sz w:val="20"/>
                  <w:u w:val="single"/>
                  <w:effect w:val="none"/>
                </w:rPr>
                <w:t xml:space="preserve">Item </w:t>
              </w:r>
            </w:hyperlink>
            <w:hyperlink w:anchor="ic00931e569874fb1a320c87b1f8af24a_88">
              <w:r>
                <w:rPr>
                  <w:rStyle w:val="InternetLink"/>
                  <w:rFonts w:ascii="Times New Roman;serif" w:hAnsi="Times New Roman;serif"/>
                  <w:b w:val="false"/>
                  <w:strike w:val="false"/>
                  <w:dstrike w:val="false"/>
                  <w:color w:val="000080"/>
                  <w:sz w:val="20"/>
                  <w:u w:val="single"/>
                  <w:effect w:val="none"/>
                </w:rPr>
                <w:t>2</w:t>
              </w:r>
            </w:hyperlink>
            <w:hyperlink w:anchor="ic00931e569874fb1a320c87b1f8af24a_88">
              <w:r>
                <w:rPr>
                  <w:rStyle w:val="InternetLink"/>
                  <w:rFonts w:ascii="Times New Roman;serif" w:hAnsi="Times New Roman;serif"/>
                  <w:b w:val="false"/>
                  <w:strike w:val="false"/>
                  <w:dstrike w:val="false"/>
                  <w:color w:val="000080"/>
                  <w:sz w:val="20"/>
                  <w:u w:val="single"/>
                  <w:effect w:val="none"/>
                </w:rPr>
                <w:t>.</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Unregistered Sales of Equity Securities and Use of Proceeds</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00931e569874fb1a320c87b1f8af24a_124">
              <w:r>
                <w:rPr>
                  <w:rStyle w:val="InternetLink"/>
                  <w:rFonts w:ascii="Times New Roman;serif" w:hAnsi="Times New Roman;serif"/>
                  <w:b w:val="false"/>
                  <w:strike w:val="false"/>
                  <w:dstrike w:val="false"/>
                  <w:color w:val="000000"/>
                  <w:sz w:val="20"/>
                  <w:u w:val="none"/>
                  <w:effect w:val="none"/>
                </w:rPr>
                <w:t>54</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Defaults upon Senior Securities</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00931e569874fb1a320c87b1f8af24a_127">
              <w:r>
                <w:rPr>
                  <w:rStyle w:val="InternetLink"/>
                  <w:rFonts w:ascii="Times New Roman;serif" w:hAnsi="Times New Roman;serif"/>
                  <w:b w:val="false"/>
                  <w:strike w:val="false"/>
                  <w:dstrike w:val="false"/>
                  <w:color w:val="000000"/>
                  <w:sz w:val="20"/>
                  <w:u w:val="none"/>
                  <w:effect w:val="none"/>
                </w:rPr>
                <w:t>54</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Mine Safety Disclosures</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00931e569874fb1a320c87b1f8af24a_130">
              <w:r>
                <w:rPr>
                  <w:rStyle w:val="InternetLink"/>
                  <w:rFonts w:ascii="Times New Roman;serif" w:hAnsi="Times New Roman;serif"/>
                  <w:b w:val="false"/>
                  <w:strike w:val="false"/>
                  <w:dstrike w:val="false"/>
                  <w:color w:val="000000"/>
                  <w:sz w:val="20"/>
                  <w:u w:val="none"/>
                  <w:effect w:val="none"/>
                </w:rPr>
                <w:t>54</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00931e569874fb1a320c87b1f8af24a_133">
              <w:r>
                <w:rPr>
                  <w:rStyle w:val="InternetLink"/>
                  <w:rFonts w:ascii="Times New Roman;serif" w:hAnsi="Times New Roman;serif"/>
                  <w:b w:val="false"/>
                  <w:strike w:val="false"/>
                  <w:dstrike w:val="false"/>
                  <w:color w:val="000000"/>
                  <w:sz w:val="20"/>
                  <w:u w:val="none"/>
                  <w:effect w:val="none"/>
                </w:rPr>
                <w:t>54</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00931e569874fb1a320c87b1f8af24a_139">
              <w:r>
                <w:rPr>
                  <w:rStyle w:val="InternetLink"/>
                  <w:rFonts w:ascii="Times New Roman;serif" w:hAnsi="Times New Roman;serif"/>
                  <w:b w:val="false"/>
                  <w:strike w:val="false"/>
                  <w:dstrike w:val="false"/>
                  <w:color w:val="000080"/>
                  <w:sz w:val="20"/>
                  <w:u w:val="single"/>
                  <w:effect w:val="none"/>
                </w:rPr>
                <w:t xml:space="preserve">Item </w:t>
              </w:r>
            </w:hyperlink>
            <w:hyperlink w:anchor="ic00931e569874fb1a320c87b1f8af24a_139">
              <w:r>
                <w:rPr>
                  <w:rStyle w:val="InternetLink"/>
                  <w:rFonts w:ascii="Times New Roman;serif" w:hAnsi="Times New Roman;serif"/>
                  <w:b w:val="false"/>
                  <w:strike w:val="false"/>
                  <w:dstrike w:val="false"/>
                  <w:color w:val="000080"/>
                  <w:sz w:val="20"/>
                  <w:u w:val="single"/>
                  <w:effect w:val="none"/>
                </w:rPr>
                <w:t>6</w:t>
              </w:r>
            </w:hyperlink>
            <w:hyperlink w:anchor="ic00931e569874fb1a320c87b1f8af24a_139">
              <w:r>
                <w:rPr>
                  <w:rStyle w:val="InternetLink"/>
                  <w:rFonts w:ascii="Times New Roman;serif" w:hAnsi="Times New Roman;serif"/>
                  <w:b w:val="false"/>
                  <w:strike w:val="false"/>
                  <w:dstrike w:val="false"/>
                  <w:color w:val="000080"/>
                  <w:sz w:val="20"/>
                  <w:u w:val="single"/>
                  <w:effect w:val="none"/>
                </w:rPr>
                <w:t>.</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00931e569874fb1a320c87b1f8af24a_139">
              <w:r>
                <w:rPr>
                  <w:rStyle w:val="InternetLink"/>
                  <w:rFonts w:ascii="Times New Roman;serif" w:hAnsi="Times New Roman;serif"/>
                  <w:b w:val="false"/>
                  <w:strike w:val="false"/>
                  <w:dstrike w:val="false"/>
                  <w:color w:val="000000"/>
                  <w:sz w:val="20"/>
                  <w:u w:val="none"/>
                  <w:effect w:val="none"/>
                </w:rPr>
                <w:t>Exhibits</w:t>
              </w:r>
            </w:hyperlink>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00931e569874fb1a320c87b1f8af24a_139">
              <w:r>
                <w:rPr>
                  <w:rStyle w:val="InternetLink"/>
                  <w:rFonts w:ascii="Times New Roman;serif" w:hAnsi="Times New Roman;serif"/>
                  <w:b w:val="false"/>
                  <w:strike w:val="false"/>
                  <w:dstrike w:val="false"/>
                  <w:color w:val="000000"/>
                  <w:sz w:val="20"/>
                  <w:u w:val="none"/>
                  <w:effect w:val="none"/>
                </w:rPr>
                <w:t>55</w:t>
              </w:r>
            </w:hyperlink>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3"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c00931e569874fb1a320c87b1f8af24a_142">
              <w:r>
                <w:rPr>
                  <w:rStyle w:val="InternetLink"/>
                  <w:rFonts w:ascii="Times New Roman;serif" w:hAnsi="Times New Roman;serif"/>
                  <w:b w:val="false"/>
                  <w:strike w:val="false"/>
                  <w:dstrike w:val="false"/>
                  <w:color w:val="000000"/>
                  <w:sz w:val="20"/>
                  <w:u w:val="none"/>
                  <w:effect w:val="none"/>
                </w:rPr>
                <w:t>Signatures</w:t>
              </w:r>
            </w:hyperlink>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00931e569874fb1a320c87b1f8af24a_142">
              <w:r>
                <w:rPr>
                  <w:rStyle w:val="InternetLink"/>
                  <w:rFonts w:ascii="Times New Roman;serif" w:hAnsi="Times New Roman;serif"/>
                  <w:b w:val="false"/>
                  <w:strike w:val="false"/>
                  <w:dstrike w:val="false"/>
                  <w:color w:val="000000"/>
                  <w:sz w:val="20"/>
                  <w:u w:val="none"/>
                  <w:effect w:val="none"/>
                </w:rPr>
                <w:t>57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Unless the context requires otherwise, references in this Quarterly Report on Form 10-Q (“Form 10-Q”) to “Innventure,” the “Company,” “we,” “our” or “us” refer to Innventure, Inc. and its consolidated subsidiaries.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Form 10-Q contains forward-looking statements within the meaning of Section 27A of the Securities Act of 1933, as amended (the “Securities Act”), and Section 21E of the Securities Exchange Act of 1934, as amended (the “Exchange Act”), including statements about the Company’s business model, the financial condition, results of operations, earnings outlook and the prospects for AeroFlexx, LLC (“AeroFlexx” or “AFX”), Accelsius Holdings LLC (“Accelsius” or “ACC”) and Refinity Olefins, LLC (“Refinity” and, together with AeroFlexx and Accelsius, the “Innventure Companies” and, together with those subsidiary companies that Innventure may found, fund, and operate going forward, the “Operating Companies”). Forward-looking statements generally relate to future events or the Company’s future financial or operating performance and may refer to projections, forecasts or other characterizations of future events or circumstances, including any underlying assumptions.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are based on the current expectations of the Company’s management and are inherently subject to uncertainties and changes in circumstances and their potential effects and speak only as of the date of this Form 10-Q.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 risks and uncertainties include, but are not limited to, those factors discussed and identified in the section of the Company’s Annual Report on Form 10-K for the fiscal year ended December 31, 2024 (the “2024 Annual Report”) entitled “Risk Factors,” those discussed and identified in other public filings made with the Securities and Exchange Commission (the “SEC”) by the Company and the following: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expectations regarding Innventure’s and the Innventure Companies’ (as defined below) ability to execute on strategies and achieve future financial performance, including their respective future business plans, expansion and acquisition plans or objectives, prospective performance and opportunities and competitors, revenues, products and services, pricing, operating expenses, market trends, liquidity, cash flows and uses of cash, capital expenditures, and Innventure’s ability to invest in growth initiatives;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implementation, market acceptance and success of Innventure’s and the Innventure Companies’ business models and growth strategies;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Innventure’s and the Innventure Companies’ future capital requirements and sources and uses of cash;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sustained unfavorable economic or other conditions which could cause the need for Innventure to evaluate and potentially record additional impairment charges for all, or a portion of, its goodwill and other intangible assets;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Innventure’s future capital requirements and sources and uses of cash, including: (i) Innventure’s ability to obtain funding for its operations and future growth; and (ii) Innventure’s ability to continue as a going concern;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Innventure’s ability to maintain control over the Innventure Companies;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Innventure’s ability to meet the various conditions imposed by, and to satisfy its obligations to, the WTI Lenders (as defined below), under the WTI Facility (as defined below);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Innventure’s access to funds under the Standby Equity Purchase Agreement (the “SEPA”) with YA II PN, Ltd. (“Yorkville”), including ownership limitations, issuances and subscriptions based on trading volumes,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and Innventure’s ability to continue to access the funds available under the SEPA due to certain conditions, restrictions and limitations set forth therein and in the Existing Purchase Agreement (as defined below) and the Securities Purchase Agreement (together, the “Purchase Agreements”);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certain restrictions and limitations set forth in Innventure’s debt instruments, which may impair Innventure’s financial and operating flexibility;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Innventure’s and the Innventure Companies’ ability to generate liquidity and maintain sufficient capital to operate as anticipated;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Innventure’s and the Innventure Companies’ ability to obtain funding for their operations, future growth and to continue as going concerns;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risk that the technology solutions that Innventure and the Innventure Companies license or acquire from third parties or develop internally may not function as anticipated or provide the benefits anticipated;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developments and projections relating to Innventure’s and the Innventure Companies’ competitors and industry;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ability of Innventure and the Innventure Companies to scale the operations of their respective businesses;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ability of Innventure and the Innventure Companies to establish substantial commercial sales of their products;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ability of Innventure and the Innventure Companies to compete against companies with greater capital and other resources or superior technology or products;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Innventure and the Innventure Companies’ ability to meet, and to continue to meet, applicable regulatory requirements for the use of their respective products and the numerous regulatory requirements generally applicable to their businesses;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outcome of any legal proceedings against Innventure or the Innventure Companies;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Innventure’s ability to find future opportunities to license or acquire breakthrough technology solutions from multinational corporations (“MNCs”) or other third parties (collectively, “Technology Solutions Providers”) and to satisfy the requirements imposed by or to avoid disagreements with its current and future Technology Solutions Providers;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risk that the launch of new companies distracts Innventure’s management from its subsidiaries and their respective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risk that Innventure may be deemed an investment company under the Investment Company Act of 1940 (the “Investment Company Act”), which would impose burdensome compliance requirements and restrictions on its activities;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Innventure’s ability to sufficiently protect the intellectual property (“IP”) rights of itself and its Operating Companies, and to avoid or resolve in a timely and cost-effective manner any disputes that may arise relating to its use of the IP of third parties;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risk of a cyber-attack or a failure of Innventure’s information technology and data security infrastructure;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geopolitical risk and changes in applicable laws or regulations, including with respect to foreign trade policy and tariffs;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potential adverse effects of other economic, business, and/or competitive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operational risks related to Innventure and the Innventure Companies, which have limited or no operating history;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limited liquidity and trading of Innventure’s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Should one or more of these risks or uncertainties materialize, or should any of our assumptions prove incorrect, actual results may vary in material respects from those projected in these forward-looking statements. All forward-looking statements in this Form 10-Q are made as of the date hereof, based on information available to Innventure as of the date hereof, and Innventure assumes no obligation to update any forward-looking statement, whether as a result of new information, future events or otherwise, except as may be required under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0"/>
        <w:jc w:val="left"/>
        <w:rPr/>
      </w:pPr>
      <w:hyperlink w:anchor="ic00931e569874fb1a320c87b1f8af2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621"/>
        <w:gridCol w:w="2218"/>
        <w:gridCol w:w="2246"/>
        <w:gridCol w:w="305"/>
        <w:gridCol w:w="1090"/>
        <w:gridCol w:w="183"/>
        <w:gridCol w:w="109"/>
        <w:gridCol w:w="109"/>
        <w:gridCol w:w="109"/>
        <w:gridCol w:w="192"/>
        <w:gridCol w:w="687"/>
        <w:gridCol w:w="336"/>
      </w:tblGrid>
      <w:tr>
        <w:trPr/>
        <w:tc>
          <w:tcPr>
            <w:tcW w:w="2621"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7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September 30, 2025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December 31, 2024</w:t>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Assets</w:t>
            </w:r>
          </w:p>
        </w:tc>
        <w:tc>
          <w:tcPr>
            <w:tcW w:w="15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Cash and cash equivalents</w:t>
            </w:r>
          </w:p>
        </w:tc>
        <w:tc>
          <w:tcPr>
            <w:tcW w:w="3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9,061 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11,119 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Restricted cash</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receivable, net</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1,569 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283 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Due from related parties</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7,511 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4,536 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Inventories, net</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6,404 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5,178 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Prepaid expenses and other current assets</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2,705 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3,170 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 xml:space="preserve">Total Current Assets </w:t>
            </w:r>
          </w:p>
        </w:tc>
        <w:tc>
          <w:tcPr>
            <w:tcW w:w="13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32,250</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24,286</w:t>
            </w: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Investments</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31,207 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28,734 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Property, plant and equipment, net</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2,176 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1,414 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Intangible assets, net</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165,941 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182,153 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Goodwill</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323,463 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667,936 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assets</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1,478 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766 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 xml:space="preserve">Total Assets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10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556,515</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905,289</w:t>
            </w: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Liabilities and Stockholders' Equity</w:t>
            </w:r>
          </w:p>
        </w:tc>
        <w:tc>
          <w:tcPr>
            <w:tcW w:w="1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payable</w:t>
            </w:r>
          </w:p>
        </w:tc>
        <w:tc>
          <w:tcPr>
            <w:tcW w:w="3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856 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3,248 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Accrued employee benefits</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12,189 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9,273 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Accrued expenses</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3,225 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2,478 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Contract liabilities</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776 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Related party notes payable - current</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14,000 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Notes payable - current</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34,398 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625 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Embedded derivative liability</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1,677 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Patent installment payable - current</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1,225 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Obligation to issue equity</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2,239 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4,158 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Warrant liability</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22,742 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34,023 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Income taxes payable</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Related party convertible promissory notes - current</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2,085 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current liabilities</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 xml:space="preserve">Total Current Liabilities </w:t>
            </w:r>
          </w:p>
        </w:tc>
        <w:tc>
          <w:tcPr>
            <w:tcW w:w="13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82,477</w:t>
            </w: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69,347</w:t>
            </w: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Notes payable, net of current portion</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10,101 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13,654 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Term convertible notes, net of current portion</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15,024 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Related party convertible promissory notes, net of current portion</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4,389 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Earnout liability</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5,460 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14,752 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liability</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1,160 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Patent installment payable, net of current portion</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12,375 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12,375 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income taxes</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19,213 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27,353 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liabilities</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 xml:space="preserve">Total Liabilities </w:t>
            </w:r>
          </w:p>
        </w:tc>
        <w:tc>
          <w:tcPr>
            <w:tcW w:w="13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149,936</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138,996</w:t>
            </w: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Commitments and Contingencies (Note 16)</w:t>
            </w:r>
          </w:p>
        </w:tc>
        <w:tc>
          <w:tcPr>
            <w:tcW w:w="1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Stockholders' Equity</w:t>
            </w:r>
          </w:p>
        </w:tc>
        <w:tc>
          <w:tcPr>
            <w:tcW w:w="1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Preferred stock, $0.0001 par value, 25,000,000 shares authorized;</w:t>
            </w:r>
          </w:p>
        </w:tc>
        <w:tc>
          <w:tcPr>
            <w:tcW w:w="1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Series B Preferred Stock, $0.0001 par value, 3,000,000 shares designated, 33,144 and 1,102,000 shares issued and outstanding as of September 30, 2025 and December 31, 2024, respectively</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Series C Preferred Stock, $0.0001 par value, 5,000,000 shares designated, 150,000 and — shares issued and outstanding as of September 30, 2025 and December 31, 2024, respectively</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Common Stock, $0.0001 par value, 250,000,000 shares authorized, 56,220,158 and 44,597,154 shares issued and outstanding as of September 30, 2025 and December 31, 2024, respectively</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Additional paid-in capital</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525,615 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502,865 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Accumulated other comprehensive (loss) gain </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909 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Accumulated deficit</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(333,844)</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(78,262)</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Total Innventure, Inc., Stockholders’ Equity</w:t>
            </w:r>
          </w:p>
        </w:tc>
        <w:tc>
          <w:tcPr>
            <w:tcW w:w="13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190,769</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425,516</w:t>
            </w: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215,810 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340,777 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 xml:space="preserve">Total Stockholders' Equity </w:t>
            </w:r>
          </w:p>
        </w:tc>
        <w:tc>
          <w:tcPr>
            <w:tcW w:w="13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406,579</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766,293</w:t>
            </w: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 xml:space="preserve">Total Liabilities and Stockholders' Equity </w:t>
            </w:r>
          </w:p>
        </w:tc>
        <w:tc>
          <w:tcPr>
            <w:tcW w:w="3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10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556,515</w:t>
            </w:r>
            <w:r>
              <w:rPr>
                <w:color w:val="000000"/>
              </w:rPr>
              <w:t> </w:t>
            </w:r>
          </w:p>
        </w:tc>
        <w:tc>
          <w:tcPr>
            <w:tcW w:w="1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905,289</w:t>
            </w:r>
            <w:r>
              <w:rPr>
                <w:color w:val="000000"/>
              </w:rPr>
              <w:t> </w:t>
            </w:r>
          </w:p>
        </w:tc>
        <w:tc>
          <w:tcPr>
            <w:tcW w:w="3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 (Loss)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157"/>
        <w:gridCol w:w="765"/>
        <w:gridCol w:w="779"/>
        <w:gridCol w:w="337"/>
        <w:gridCol w:w="904"/>
        <w:gridCol w:w="143"/>
        <w:gridCol w:w="109"/>
        <w:gridCol w:w="109"/>
        <w:gridCol w:w="109"/>
        <w:gridCol w:w="109"/>
        <w:gridCol w:w="109"/>
        <w:gridCol w:w="109"/>
        <w:gridCol w:w="361"/>
        <w:gridCol w:w="903"/>
        <w:gridCol w:w="173"/>
        <w:gridCol w:w="109"/>
        <w:gridCol w:w="109"/>
        <w:gridCol w:w="109"/>
        <w:gridCol w:w="260"/>
        <w:gridCol w:w="986"/>
        <w:gridCol w:w="138"/>
        <w:gridCol w:w="109"/>
        <w:gridCol w:w="109"/>
        <w:gridCol w:w="109"/>
        <w:gridCol w:w="109"/>
        <w:gridCol w:w="109"/>
        <w:gridCol w:w="109"/>
        <w:gridCol w:w="320"/>
        <w:gridCol w:w="842"/>
        <w:gridCol w:w="502"/>
      </w:tblGrid>
      <w:tr>
        <w:trPr/>
        <w:tc>
          <w:tcPr>
            <w:tcW w:w="115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2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2024 (Predecessor)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2024 (Predecessor)</w:t>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Revenue</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534</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317</w:t>
            </w: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1,234</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764</w:t>
            </w:r>
            <w:r>
              <w:rPr>
                <w:color w:val="000000"/>
              </w:rPr>
              <w:t> </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4,147 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7,192 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777 </w:t>
            </w:r>
          </w:p>
        </w:tc>
        <w:tc>
          <w:tcPr>
            <w:tcW w:w="502"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16,927 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9,052 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55,172 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25,323 </w:t>
            </w:r>
          </w:p>
        </w:tc>
        <w:tc>
          <w:tcPr>
            <w:tcW w:w="502"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2,514 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6,818 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4,178 </w:t>
            </w:r>
          </w:p>
        </w:tc>
        <w:tc>
          <w:tcPr>
            <w:tcW w:w="502"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6,151 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2,533 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18,472 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5,978 </w:t>
            </w:r>
          </w:p>
        </w:tc>
        <w:tc>
          <w:tcPr>
            <w:tcW w:w="502"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 impairment</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346,557 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 xml:space="preserve">Total Operating Expenses </w:t>
            </w:r>
          </w:p>
        </w:tc>
        <w:tc>
          <w:tcPr>
            <w:tcW w:w="12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29,739</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13,991</w:t>
            </w: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434,211</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36,256</w:t>
            </w:r>
            <w:r>
              <w:rPr>
                <w:color w:val="000000"/>
              </w:rPr>
              <w:t> </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 xml:space="preserve">Loss from Operations </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(29,205)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(13,674)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(432,977)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(35,492)</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Non-operating (Expense) and Income</w:t>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(3,401)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(7,586)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(1,300)</w:t>
            </w:r>
          </w:p>
        </w:tc>
        <w:tc>
          <w:tcPr>
            <w:tcW w:w="502"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on investments</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7,148 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11,547 </w:t>
            </w:r>
          </w:p>
        </w:tc>
        <w:tc>
          <w:tcPr>
            <w:tcW w:w="502"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on investments – due to related parties</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(468)</w:t>
            </w:r>
          </w:p>
        </w:tc>
        <w:tc>
          <w:tcPr>
            <w:tcW w:w="502"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financial liabilities</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(4,109)</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19,496 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(478)</w:t>
            </w:r>
          </w:p>
        </w:tc>
        <w:tc>
          <w:tcPr>
            <w:tcW w:w="502"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 method investment (loss) income</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(10,282)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893 </w:t>
            </w:r>
          </w:p>
        </w:tc>
        <w:tc>
          <w:tcPr>
            <w:tcW w:w="502"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gain on conversion of available for sale investment</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2"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(3,462)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related party debt</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(3,538)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2"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conversion of promissory notes</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(1,119)</w:t>
            </w:r>
          </w:p>
        </w:tc>
        <w:tc>
          <w:tcPr>
            <w:tcW w:w="502"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Miscellaneous other expense</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 xml:space="preserve">Total Non-operating (Expense) Income </w:t>
            </w:r>
          </w:p>
        </w:tc>
        <w:tc>
          <w:tcPr>
            <w:tcW w:w="12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(9,133)</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6,033</w:t>
            </w: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(3,929)</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9,011</w:t>
            </w:r>
            <w:r>
              <w:rPr>
                <w:color w:val="000000"/>
              </w:rPr>
              <w:t> </w:t>
            </w:r>
          </w:p>
        </w:tc>
        <w:tc>
          <w:tcPr>
            <w:tcW w:w="5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Loss before income taxes</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(38,338)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(7,641)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(436,906)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(26,481)</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(3,603)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(7,222)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 xml:space="preserve">Net Loss </w:t>
            </w:r>
          </w:p>
        </w:tc>
        <w:tc>
          <w:tcPr>
            <w:tcW w:w="12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(34,735)</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(7,641)</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(429,684)</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(26,481)</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loss attributable to</w:t>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(6,403)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(5,430)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(174,128)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(11,762)</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 xml:space="preserve">Net Loss Attributable to Innventure, Inc. Stockholders / Innventure LLC Unitholders </w:t>
            </w:r>
          </w:p>
        </w:tc>
        <w:tc>
          <w:tcPr>
            <w:tcW w:w="12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(28,332)</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(2,211)</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(255,556)</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(14,719)</w:t>
            </w:r>
          </w:p>
        </w:tc>
        <w:tc>
          <w:tcPr>
            <w:tcW w:w="5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Basic and diluted loss per share</w:t>
            </w:r>
          </w:p>
        </w:tc>
        <w:tc>
          <w:tcPr>
            <w:tcW w:w="3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(0.51)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(0.94)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(2.67)</w:t>
            </w:r>
          </w:p>
        </w:tc>
        <w:tc>
          <w:tcPr>
            <w:tcW w:w="502"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Basic and diluted weighted average common shares</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55,846,721 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10,875,000 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51,583,853 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10,875,000 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comprehensive income (loss), net of taxes:</w:t>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(loss) on available for sale debt securities - related party</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(2,373)</w:t>
            </w:r>
          </w:p>
        </w:tc>
        <w:tc>
          <w:tcPr>
            <w:tcW w:w="502"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of realized gain on conversion of available for sale investments</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other comprehensive income (loss), net of taxes</w:t>
            </w:r>
          </w:p>
        </w:tc>
        <w:tc>
          <w:tcPr>
            <w:tcW w:w="12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281</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(2,373)</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(1,917)</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(2,373)</w:t>
            </w:r>
          </w:p>
        </w:tc>
        <w:tc>
          <w:tcPr>
            <w:tcW w:w="5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comprehensive loss, net of taxes</w:t>
            </w:r>
          </w:p>
        </w:tc>
        <w:tc>
          <w:tcPr>
            <w:tcW w:w="12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(34,454)</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(10,014)</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(431,601)</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(28,854)</w:t>
            </w:r>
          </w:p>
        </w:tc>
        <w:tc>
          <w:tcPr>
            <w:tcW w:w="5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Less: comprehensive loss attributable to</w:t>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(174,128)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(11,762)</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Comprehensive Loss Attributable to Innventure, Inc. Stockholders / Innventure LLC Unitholders</w:t>
            </w:r>
          </w:p>
        </w:tc>
        <w:tc>
          <w:tcPr>
            <w:tcW w:w="3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(28,051)</w:t>
            </w:r>
          </w:p>
        </w:tc>
        <w:tc>
          <w:tcPr>
            <w:tcW w:w="1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(4,584)</w:t>
            </w:r>
          </w:p>
        </w:tc>
        <w:tc>
          <w:tcPr>
            <w:tcW w:w="1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(257,473)</w:t>
            </w:r>
          </w:p>
        </w:tc>
        <w:tc>
          <w:tcPr>
            <w:tcW w:w="1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(17,092)</w:t>
            </w:r>
          </w:p>
        </w:tc>
        <w:tc>
          <w:tcPr>
            <w:tcW w:w="5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color w:val="000000"/>
        </w:rPr>
      </w:pPr>
      <w:r>
        <w:rPr>
          <w:color w:val="000000"/>
        </w:rPr>
        <w:t>    </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Unitholders' Deficit (Predecessor)</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amounts)</w:t>
      </w:r>
    </w:p>
    <w:tbl>
      <w:tblPr>
        <w:tblW w:w="11056" w:type="dxa"/>
        <w:jc w:val="left"/>
        <w:tblInd w:w="0" w:type="dxa"/>
        <w:tblLayout w:type="fixed"/>
        <w:tblCellMar>
          <w:top w:w="28" w:type="dxa"/>
          <w:left w:w="28" w:type="dxa"/>
          <w:bottom w:w="28" w:type="dxa"/>
          <w:right w:w="28" w:type="dxa"/>
        </w:tblCellMar>
      </w:tblPr>
      <w:tblGrid>
        <w:gridCol w:w="564"/>
        <w:gridCol w:w="383"/>
        <w:gridCol w:w="269"/>
        <w:gridCol w:w="196"/>
        <w:gridCol w:w="661"/>
        <w:gridCol w:w="109"/>
        <w:gridCol w:w="109"/>
        <w:gridCol w:w="109"/>
        <w:gridCol w:w="109"/>
        <w:gridCol w:w="196"/>
        <w:gridCol w:w="571"/>
        <w:gridCol w:w="109"/>
        <w:gridCol w:w="109"/>
        <w:gridCol w:w="109"/>
        <w:gridCol w:w="109"/>
        <w:gridCol w:w="196"/>
        <w:gridCol w:w="571"/>
        <w:gridCol w:w="109"/>
        <w:gridCol w:w="109"/>
        <w:gridCol w:w="109"/>
        <w:gridCol w:w="109"/>
        <w:gridCol w:w="196"/>
        <w:gridCol w:w="436"/>
        <w:gridCol w:w="109"/>
        <w:gridCol w:w="109"/>
        <w:gridCol w:w="109"/>
        <w:gridCol w:w="109"/>
        <w:gridCol w:w="213"/>
        <w:gridCol w:w="719"/>
        <w:gridCol w:w="119"/>
        <w:gridCol w:w="109"/>
        <w:gridCol w:w="109"/>
        <w:gridCol w:w="109"/>
        <w:gridCol w:w="235"/>
        <w:gridCol w:w="685"/>
        <w:gridCol w:w="131"/>
        <w:gridCol w:w="264"/>
        <w:gridCol w:w="893"/>
        <w:gridCol w:w="149"/>
        <w:gridCol w:w="109"/>
        <w:gridCol w:w="109"/>
        <w:gridCol w:w="109"/>
        <w:gridCol w:w="196"/>
        <w:gridCol w:w="661"/>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B Preferred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B-1 Preferred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OCI</w:t>
            </w:r>
          </w:p>
        </w:tc>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(Deficit) Equity</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December 31, 2023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38,122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3,323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1,950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(64,284)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1,559</w:t>
            </w: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(18,486)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(5,219)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(2,307)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Units issued to non-controlling interest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preferred units, net of issuance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Unit-based compensation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units to non-controlling interest in exchange of convertible promissory notes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8,443 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redeemable units to redemption value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(4,415)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March 31, 2024</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45,688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3,323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1,950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(73,918)</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11,543</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(10,519)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(7,288)</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(4,026)</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Units issued to non-controlling interest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7,348 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preferred units, net of issuance costs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Unit-based compensation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redeemable units to redemption value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June 30, 2024</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48,540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3,323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1,950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940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(81,568)</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15,113</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(11,702)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(2,211)</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(5,430)</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(7,641)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Units issued to non-controlling interest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3,071 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preferred units, net of issuance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Unit-based compensation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redeemable units to redemption value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(7,173)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September 30, 2024</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51,683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3,323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1,950</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981</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(90,952)</w:t>
            </w:r>
          </w:p>
        </w:tc>
        <w:tc>
          <w:tcPr>
            <w:tcW w:w="1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(2,373)</w:t>
            </w:r>
          </w:p>
        </w:tc>
        <w:tc>
          <w:tcPr>
            <w:tcW w:w="1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13,080</w:t>
            </w:r>
            <w:r>
              <w:rPr>
                <w:color w:val="000000"/>
              </w:rPr>
              <w:t> </w:t>
            </w:r>
          </w:p>
        </w:tc>
        <w:tc>
          <w:tcPr>
            <w:tcW w:w="1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(22,308)</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Mezzanine and Stockholders' Equity (Deficit) (Successor)</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amounts)</w:t>
      </w:r>
    </w:p>
    <w:tbl>
      <w:tblPr>
        <w:tblW w:w="15192" w:type="dxa"/>
        <w:jc w:val="left"/>
        <w:tblInd w:w="0" w:type="dxa"/>
        <w:tblLayout w:type="fixed"/>
        <w:tblCellMar>
          <w:top w:w="28" w:type="dxa"/>
          <w:left w:w="28" w:type="dxa"/>
          <w:bottom w:w="28" w:type="dxa"/>
          <w:right w:w="28" w:type="dxa"/>
        </w:tblCellMar>
      </w:tblPr>
      <w:tblGrid>
        <w:gridCol w:w="470"/>
        <w:gridCol w:w="215"/>
        <w:gridCol w:w="216"/>
        <w:gridCol w:w="323"/>
        <w:gridCol w:w="323"/>
        <w:gridCol w:w="151"/>
        <w:gridCol w:w="109"/>
        <w:gridCol w:w="109"/>
        <w:gridCol w:w="109"/>
        <w:gridCol w:w="166"/>
        <w:gridCol w:w="406"/>
        <w:gridCol w:w="109"/>
        <w:gridCol w:w="109"/>
        <w:gridCol w:w="109"/>
        <w:gridCol w:w="109"/>
        <w:gridCol w:w="278"/>
        <w:gridCol w:w="278"/>
        <w:gridCol w:w="151"/>
        <w:gridCol w:w="109"/>
        <w:gridCol w:w="109"/>
        <w:gridCol w:w="109"/>
        <w:gridCol w:w="166"/>
        <w:gridCol w:w="406"/>
        <w:gridCol w:w="109"/>
        <w:gridCol w:w="109"/>
        <w:gridCol w:w="109"/>
        <w:gridCol w:w="109"/>
        <w:gridCol w:w="353"/>
        <w:gridCol w:w="353"/>
        <w:gridCol w:w="151"/>
        <w:gridCol w:w="109"/>
        <w:gridCol w:w="109"/>
        <w:gridCol w:w="109"/>
        <w:gridCol w:w="174"/>
        <w:gridCol w:w="237"/>
        <w:gridCol w:w="115"/>
        <w:gridCol w:w="109"/>
        <w:gridCol w:w="109"/>
        <w:gridCol w:w="109"/>
        <w:gridCol w:w="166"/>
        <w:gridCol w:w="556"/>
        <w:gridCol w:w="109"/>
        <w:gridCol w:w="109"/>
        <w:gridCol w:w="109"/>
        <w:gridCol w:w="109"/>
        <w:gridCol w:w="166"/>
        <w:gridCol w:w="541"/>
        <w:gridCol w:w="109"/>
        <w:gridCol w:w="109"/>
        <w:gridCol w:w="109"/>
        <w:gridCol w:w="109"/>
        <w:gridCol w:w="189"/>
        <w:gridCol w:w="481"/>
        <w:gridCol w:w="126"/>
        <w:gridCol w:w="109"/>
        <w:gridCol w:w="109"/>
        <w:gridCol w:w="109"/>
        <w:gridCol w:w="188"/>
        <w:gridCol w:w="632"/>
        <w:gridCol w:w="126"/>
        <w:gridCol w:w="109"/>
        <w:gridCol w:w="109"/>
        <w:gridCol w:w="109"/>
        <w:gridCol w:w="166"/>
        <w:gridCol w:w="556"/>
        <w:gridCol w:w="109"/>
        <w:gridCol w:w="327"/>
        <w:gridCol w:w="327"/>
        <w:gridCol w:w="186"/>
        <w:gridCol w:w="460"/>
        <w:gridCol w:w="109"/>
        <w:gridCol w:w="327"/>
        <w:gridCol w:w="166"/>
        <w:gridCol w:w="496"/>
        <w:gridCol w:w="154"/>
      </w:tblGrid>
      <w:tr>
        <w:trPr/>
        <w:tc>
          <w:tcPr>
            <w:tcW w:w="47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9"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Mezzanine Equity</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Series B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Series C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Preferred Stock</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Accumulated 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Amount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December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1,102,000</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44,597,154</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4</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502,865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(78,262)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909</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340,777</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766,293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(142,997)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(110,677)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(253,674)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Series B Preferred Stock buyback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(5,000)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Series B Preferred Stock issued for paid-in-kind dividends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21,808 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common shares, net of issuance costs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161,964 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Vesting of earnout shares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2,344,682 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Other comprehensive gain, net of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(2,387)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Conversion of related party notes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2,310,848 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Series C Preferred Stock, net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Non-controlling interest issued and related transfers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(26,303)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33,249 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Distributions to Stockholders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898 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Accrued preferred dividends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March 31, 2025</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1,118,808</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47,103,800</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5</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484,256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(221,285)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(1,478)</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264,247</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525,745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2,885,848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28,728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Net loss</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(84,227)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(57,048)</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(141,275)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common shares, net of issuance costs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481,325 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Other comprehensive gain, net of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189 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Non-controlling interest issued and related transfers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(602)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912 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Accrued preferred dividends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Conversion to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(1,085,664)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7,636,369 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27,269 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27,270 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(2,735,848)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(27,272)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Transfer of Series C Preferred Stock from Mezzanine equity to Stockholders' equity</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150,000 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June 30,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33,144</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150,000</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55,221,494</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6</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525,346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(305,512)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(1,289)</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207,509</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426,060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Net loss</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(28,332)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(6,403)</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(34,735)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common shares, net of issuance costs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998,664 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Other comprehensive gain, net of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281 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Non-controlling interest issued and related transfers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11,957 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2,747 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Accrued preferred dividends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September 30, 2025</w:t>
            </w:r>
          </w:p>
        </w:tc>
        <w:tc>
          <w:tcPr>
            <w:tcW w:w="64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33,144</w:t>
            </w:r>
            <w:r>
              <w:rPr>
                <w:color w:val="000000"/>
              </w:rPr>
              <w:t> </w:t>
            </w:r>
          </w:p>
        </w:tc>
        <w:tc>
          <w:tcPr>
            <w:tcW w:w="1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150,000</w:t>
            </w:r>
            <w:r>
              <w:rPr>
                <w:color w:val="000000"/>
              </w:rPr>
              <w:t> </w:t>
            </w:r>
          </w:p>
        </w:tc>
        <w:tc>
          <w:tcPr>
            <w:tcW w:w="1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56,220,158</w:t>
            </w:r>
            <w:r>
              <w:rPr>
                <w:color w:val="000000"/>
              </w:rPr>
              <w:t> </w:t>
            </w:r>
          </w:p>
        </w:tc>
        <w:tc>
          <w:tcPr>
            <w:tcW w:w="1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6</w:t>
            </w:r>
            <w:r>
              <w:rPr>
                <w:color w:val="000000"/>
              </w:rPr>
              <w:t> </w:t>
            </w:r>
          </w:p>
        </w:tc>
        <w:tc>
          <w:tcPr>
            <w:tcW w:w="1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525,615</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(333,844)</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(1,008)</w:t>
            </w:r>
          </w:p>
        </w:tc>
        <w:tc>
          <w:tcPr>
            <w:tcW w:w="1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215,810</w:t>
            </w:r>
            <w:r>
              <w:rPr>
                <w:color w:val="000000"/>
              </w:rPr>
              <w:t> </w:t>
            </w:r>
          </w:p>
        </w:tc>
        <w:tc>
          <w:tcPr>
            <w:tcW w:w="1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406,579</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amounts)</w:t>
      </w:r>
    </w:p>
    <w:tbl>
      <w:tblPr>
        <w:tblW w:w="9653" w:type="dxa"/>
        <w:jc w:val="left"/>
        <w:tblInd w:w="0" w:type="dxa"/>
        <w:tblLayout w:type="fixed"/>
        <w:tblCellMar>
          <w:top w:w="28" w:type="dxa"/>
          <w:left w:w="28" w:type="dxa"/>
          <w:bottom w:w="28" w:type="dxa"/>
          <w:right w:w="28" w:type="dxa"/>
        </w:tblCellMar>
      </w:tblPr>
      <w:tblGrid>
        <w:gridCol w:w="1700"/>
        <w:gridCol w:w="1490"/>
        <w:gridCol w:w="1505"/>
        <w:gridCol w:w="410"/>
        <w:gridCol w:w="1450"/>
        <w:gridCol w:w="269"/>
        <w:gridCol w:w="109"/>
        <w:gridCol w:w="109"/>
        <w:gridCol w:w="109"/>
        <w:gridCol w:w="109"/>
        <w:gridCol w:w="109"/>
        <w:gridCol w:w="109"/>
        <w:gridCol w:w="265"/>
        <w:gridCol w:w="839"/>
        <w:gridCol w:w="1071"/>
      </w:tblGrid>
      <w:tr>
        <w:trPr/>
        <w:tc>
          <w:tcPr>
            <w:tcW w:w="170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Predecessor</w:t>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Nine months ended September 30, 2024</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Cash Flows Used in Operating Activities</w:t>
            </w:r>
          </w:p>
        </w:tc>
        <w:tc>
          <w:tcPr>
            <w:tcW w:w="2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Net loss</w:t>
            </w:r>
          </w:p>
        </w:tc>
        <w:tc>
          <w:tcPr>
            <w:tcW w:w="4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4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(429,684)</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(26,481)</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2"/>
              </w:rPr>
            </w:pPr>
            <w:r>
              <w:rPr>
                <w:rFonts w:ascii="Times New Roman;serif" w:hAnsi="Times New Roman;serif"/>
                <w:b w:val="false"/>
                <w:i/>
                <w:color w:val="000000"/>
                <w:sz w:val="12"/>
              </w:rPr>
              <w:t>Adjustments to reconcile net loss to net cash and cash equivalents used in operating activities:</w:t>
            </w:r>
          </w:p>
        </w:tc>
        <w:tc>
          <w:tcPr>
            <w:tcW w:w="2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Stock-based compensation</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22,972 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1,056 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Interest income on debt securities - related party</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(299)</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(110)</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Change in fair value of financial liabilities</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(19,496)</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478 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Change in fair value of payables due to related parties</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468 </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Non-cash interest expense on notes payable</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5,142 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351 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Net gain on investments</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(11,547)</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Accrued unpaid interest on note payable</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220 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931 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Equity method investment loss (gain)</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10,282 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(893)</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Realized gain on conversion of available for sale investments</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(1,507)</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Loss on extinguishment of debt</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3,462 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Loss on extinguishment of related party debt</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3,538 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Loss on conversion of promissory notes</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1,119 </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Deferred income taxes</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(8,141)</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Depreciation and amortization</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16,821 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146 </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Goodwill impairment</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346,557 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Other costs</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233 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186 </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2"/>
              </w:rPr>
            </w:pPr>
            <w:r>
              <w:rPr>
                <w:rFonts w:ascii="Times New Roman;serif" w:hAnsi="Times New Roman;serif"/>
                <w:b w:val="false"/>
                <w:i/>
                <w:color w:val="000000"/>
                <w:sz w:val="12"/>
              </w:rPr>
              <w:t>Changes in operating assets and liabilities:</w:t>
            </w:r>
          </w:p>
        </w:tc>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Accounts receivable</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(1,286)</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Prepaid expenses and other current assets</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(6,461)</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(1,605)</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Inventory</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(1,226)</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(2,824)</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Accounts payable</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(2,448)</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4,863 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Accrued employee benefits</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2,491 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3,838 </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Accrued expenses</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376 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674 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Stock-based compensation liability</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(923)</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Income taxes payable</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930 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Liability for future stock issuance</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2,158 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10,870 </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Other current liabilities</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(230)</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(147)</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Other assets</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(60)</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(20)</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Payment of patent installment</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(525)</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Contract liabilities</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776 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2"/>
              </w:rPr>
            </w:pPr>
            <w:r>
              <w:rPr>
                <w:rFonts w:ascii="Times New Roman;serif" w:hAnsi="Times New Roman;serif"/>
                <w:b/>
                <w:color w:val="000000"/>
                <w:sz w:val="12"/>
              </w:rPr>
              <w:t xml:space="preserve">Net Cash Used in Operating Activities </w:t>
            </w:r>
          </w:p>
        </w:tc>
        <w:tc>
          <w:tcPr>
            <w:tcW w:w="1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(56,328)</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(18,647)</w:t>
            </w:r>
          </w:p>
        </w:tc>
        <w:tc>
          <w:tcPr>
            <w:tcW w:w="10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Cash Flows Used in Investing Activities</w:t>
            </w:r>
          </w:p>
        </w:tc>
        <w:tc>
          <w:tcPr>
            <w:tcW w:w="2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Investment in available-for-sale debt securities - equity method investee</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(2,708)</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Investment in debt securities - related party</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(7,400)</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Acquisition of property, plant and equipment</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(1,371)</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(736)</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received related to PCT stock sale</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2,314 </w:t>
            </w:r>
          </w:p>
        </w:tc>
        <w:tc>
          <w:tcPr>
            <w:tcW w:w="10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2"/>
              </w:rPr>
            </w:pPr>
            <w:r>
              <w:rPr>
                <w:rFonts w:ascii="Times New Roman;serif" w:hAnsi="Times New Roman;serif"/>
                <w:b/>
                <w:color w:val="000000"/>
                <w:sz w:val="12"/>
              </w:rPr>
              <w:t xml:space="preserve">Net Cash Used in Investing Activities </w:t>
            </w:r>
          </w:p>
        </w:tc>
        <w:tc>
          <w:tcPr>
            <w:tcW w:w="1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(4,079)</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(5,822)</w:t>
            </w:r>
          </w:p>
        </w:tc>
        <w:tc>
          <w:tcPr>
            <w:tcW w:w="10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Cash Flows Provided by Financing Activities</w:t>
            </w:r>
          </w:p>
        </w:tc>
        <w:tc>
          <w:tcPr>
            <w:tcW w:w="2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from issuance of equity, net of issuance costs</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3,675 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13,122 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from the issuance of equity to non-controlling interest, net of issuance costs</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6,327 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13,859 </w:t>
            </w:r>
          </w:p>
        </w:tc>
        <w:tc>
          <w:tcPr>
            <w:tcW w:w="10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from the issuance of related party convertible promissory notes</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6,350 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from the issuance of term convertible notes</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14,950 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from issuance of debt securities, net of issuance costs</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36,000 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Payment of debts</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(3,877)</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(790)</w:t>
            </w:r>
          </w:p>
        </w:tc>
        <w:tc>
          <w:tcPr>
            <w:tcW w:w="10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of related party notes payable</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12,000 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Distributions to stockholders and other</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(76)</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2"/>
              </w:rPr>
            </w:pPr>
            <w:r>
              <w:rPr>
                <w:rFonts w:ascii="Times New Roman;serif" w:hAnsi="Times New Roman;serif"/>
                <w:b/>
                <w:color w:val="000000"/>
                <w:sz w:val="12"/>
              </w:rPr>
              <w:t xml:space="preserve">Net Cash Flows Provided by Financing Activities </w:t>
            </w:r>
          </w:p>
        </w:tc>
        <w:tc>
          <w:tcPr>
            <w:tcW w:w="1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63,349</w:t>
            </w:r>
            <w:r>
              <w:rPr>
                <w:color w:val="000000"/>
              </w:rPr>
              <w:t>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38,191</w:t>
            </w:r>
            <w:r>
              <w:rPr>
                <w:color w:val="000000"/>
              </w:rPr>
              <w:t> </w:t>
            </w:r>
          </w:p>
        </w:tc>
        <w:tc>
          <w:tcPr>
            <w:tcW w:w="10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Net Increase in Cash, Cash Equivalents and Restricted Cash</w:t>
            </w:r>
          </w:p>
        </w:tc>
        <w:tc>
          <w:tcPr>
            <w:tcW w:w="1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2,942</w:t>
            </w:r>
            <w:r>
              <w:rPr>
                <w:color w:val="000000"/>
              </w:rPr>
              <w:t>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13,722</w:t>
            </w:r>
            <w:r>
              <w:rPr>
                <w:color w:val="000000"/>
              </w:rPr>
              <w:t> </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Cash, Cash Equivalents and Restricted Cash Beginning of period</w:t>
            </w:r>
          </w:p>
        </w:tc>
        <w:tc>
          <w:tcPr>
            <w:tcW w:w="1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11,119 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2,575 </w:t>
            </w:r>
          </w:p>
        </w:tc>
        <w:tc>
          <w:tcPr>
            <w:tcW w:w="10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 xml:space="preserve">Cash, Cash Equivalents and Restricted Cash End of period </w:t>
            </w:r>
          </w:p>
        </w:tc>
        <w:tc>
          <w:tcPr>
            <w:tcW w:w="4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14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14,061</w:t>
            </w:r>
            <w:r>
              <w:rPr>
                <w:color w:val="000000"/>
              </w:rPr>
              <w:t> </w:t>
            </w:r>
          </w:p>
        </w:tc>
        <w:tc>
          <w:tcPr>
            <w:tcW w:w="2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8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16,297</w:t>
            </w:r>
            <w:r>
              <w:rPr>
                <w:color w:val="000000"/>
              </w:rPr>
              <w:t> </w:t>
            </w:r>
          </w:p>
        </w:tc>
        <w:tc>
          <w:tcPr>
            <w:tcW w:w="10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941"/>
        <w:gridCol w:w="1626"/>
        <w:gridCol w:w="1629"/>
        <w:gridCol w:w="478"/>
        <w:gridCol w:w="1359"/>
        <w:gridCol w:w="268"/>
        <w:gridCol w:w="109"/>
        <w:gridCol w:w="109"/>
        <w:gridCol w:w="109"/>
        <w:gridCol w:w="109"/>
        <w:gridCol w:w="109"/>
        <w:gridCol w:w="109"/>
        <w:gridCol w:w="382"/>
        <w:gridCol w:w="1084"/>
        <w:gridCol w:w="784"/>
      </w:tblGrid>
      <w:tr>
        <w:trPr/>
        <w:tc>
          <w:tcPr>
            <w:tcW w:w="1941"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Predecessor</w:t>
            </w:r>
          </w:p>
        </w:tc>
      </w:tr>
      <w:tr>
        <w:trPr/>
        <w:tc>
          <w:tcPr>
            <w:tcW w:w="5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r>
      <w:tr>
        <w:trPr/>
        <w:tc>
          <w:tcPr>
            <w:tcW w:w="51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Cash Flow Information</w:t>
            </w:r>
          </w:p>
        </w:tc>
        <w:tc>
          <w:tcPr>
            <w:tcW w:w="2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4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1,070 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 of Noncash Financing Information</w:t>
            </w:r>
          </w:p>
        </w:tc>
        <w:tc>
          <w:tcPr>
            <w:tcW w:w="2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redeemable units to redemption value</w:t>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11,950 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units to non-controlling interest in exchange of convertible promissory notes</w:t>
            </w:r>
          </w:p>
        </w:tc>
        <w:tc>
          <w:tcPr>
            <w:tcW w:w="18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7,324 </w:t>
            </w:r>
          </w:p>
        </w:tc>
        <w:tc>
          <w:tcPr>
            <w:tcW w:w="7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working capital loans to equity method investee into investments in debt securities - related party</w:t>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4,375 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2,600 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investments in debt Securities - related party through OCI</w:t>
            </w:r>
          </w:p>
        </w:tc>
        <w:tc>
          <w:tcPr>
            <w:tcW w:w="18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2,373 </w:t>
            </w:r>
          </w:p>
        </w:tc>
        <w:tc>
          <w:tcPr>
            <w:tcW w:w="7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Recognition of right of use asset and corresponding lease liability</w:t>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879 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Extinguishment of debt with Series C Preferred Stock</w:t>
            </w:r>
          </w:p>
        </w:tc>
        <w:tc>
          <w:tcPr>
            <w:tcW w:w="18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 of Series C Preferred Stock to equity method investee</w:t>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5,783 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AFX available-for-sale term loan into equity method investments</w:t>
            </w:r>
          </w:p>
        </w:tc>
        <w:tc>
          <w:tcPr>
            <w:tcW w:w="18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8,757 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as repayment of convertible debt</w:t>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5,961 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1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stock in exchange for services</w:t>
            </w:r>
          </w:p>
        </w:tc>
        <w:tc>
          <w:tcPr>
            <w:tcW w:w="18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4,187 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preferred stock into common stock</w:t>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36,910 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Transfer of Series C Preferred Stock from Mezzanine to Stockholders' equity</w:t>
            </w:r>
          </w:p>
        </w:tc>
        <w:tc>
          <w:tcPr>
            <w:tcW w:w="18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1,468 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Embedded derivative in association with Convertible Debentures</w:t>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1,774 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1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 reallocation between non-controlling interest and additional paid-in capital</w:t>
            </w:r>
          </w:p>
        </w:tc>
        <w:tc>
          <w:tcPr>
            <w:tcW w:w="18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36,313 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Embedded derivative liability derecognition</w:t>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3,297 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 Nature of Business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Unless the context otherwise requires, references herein to "Innventure", "we", "us", "our" and "the Company" refer to the business and operations of Innventure LLC and its consolidated subsidiaries (the “Predecessor”) for all periods prior to the Closing (as defined below) and to the business and operations of Innventure, Inc., and its consolidated subsidiaries (the “Successor”) for all periods after the Closing. All balance sheet amounts presented are for Successor periods.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Innventure founds, funds, and operates companies with a focus on transformative, sustainable technology solutions that we acquire or license from technology innovators, which are typically MNCs. As owner-operators, our goal is to take what we believe to be breakthrough technologies from evaluation to scaled commercialization utilizing an approach designed to help mitigate risk in collaboration with the MNCs (our channel partner(s)), as we build disruptive companies that we believe have the potential to achieve a target enterprise value of at least $1 billion. We define ‘‘disruptive’’ as innovations that, in our opinion, have the ability to significantly change the way businesses, industries, markets, and/or consumers operate. Innventure, Inc., is headquartered in Orlando, Florida.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Business Combination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further discussed in our 2024 Annual Report, on October 2, 2024 (the “Closing Date” or “Closing”), Learn CW Investment Corporation (“Learn CW”), a Cayman Islands exempted company, and Innventure LLC, a Delaware limited liability company, consummated a business combination (the “Business Combination”) pursuant to the terms of the Business Combination Agreement previously entered into on October 24, 2023. Following the Closing, both Learn CW and Innventure LLC became subsidiaries of Learn SPAC HoldCo, Inc. (“Holdco”), a Delaware corporation and direct, wholly-owned subsidiary of Learn CW prior to Closing. Holdco changed its name to “Innventure, Inc.” and became a publicly traded company. Holdco was determined to be the accounting acquirer. Innventure, Inc., and its subsidiaries are the successor to Innventure LLC following the Business Combination.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provided in this Quarterly Report on Form 10-Q reflects two distinct periods, the period up to the Closing Date labeled as the Predecessor and the period including and after that date labeled as the Successor. The Business Combination was accounted for using the acquisition method of accounting and the Successor financial statements reflect a new basis of accounting that is based on the fair value of the net assets acquired. As a result of the application of the acquisition method of accounting as of the Closing Date, the accompanying condensed consolidated financial statements include a black line division which indicates that the Predecessor and Successor reporting entities shown are presented on a different basis and are therefore, not comparable.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2. Accounting Policies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Basis of Presentation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condensed consolidated financial statements are unaudited and should be read in conjunction with the Company's most recent annual audited consolidated financial statements and notes thereto. These condensed consolidated financial statements have been prepared in accordance with the instructions for the Securities and Exchange Commission’s (“SEC’s”) Form 10-Q and Article 10 of Regulation S-X. Certain information and footnote disclosures normally included in financial statements prepared in accordance with U.S. generally accepted accounting principles ("GAAP") have been condensed or omitted pursuant to rules and regulations of the SEC, although the Company believes that the disclosures are adequate to make the information presented not misleading. In the opinion of management, all adjustments, consisting only of normal recurring adjustments considered necessary for a fair presentation of results of operations and financial position, have been included.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use the same accounting policies in preparing quarterly and annual financial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(Successor), we identified an error and recorded an immaterial out of period adjustment of $12,448 to correct an overstatement of Additional paid-in capital, an immaterial out of period adjustment of $4,468 to correct understatement of Net loss attributable to Innventure, Inc. stockholders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 immaterial out of period adjustment of $16,916 to correct an understatement of Non-controlling interest. The impact of the adjustments are not material to the condensed consolidated financial statements for any interim or annual periods prior to September 30, 2025 nor the current financial period. The out of period adjustment to Additional paid-in capital is included in Non-controlling interest issued and related transfers within the condensed consolidated statements of changes in mezzanine and stockholders' equity (deficit) and the adjustment related to Net loss attributable to Innventure, Inc. within Comprehensive loss attributable to non-controlling interest on the condensed consolidated statements of operations and comprehensive income (loss).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Going Concern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Company had a cash balance of $9,061, a restricted cash balance of $5,000, accumulated deficit of $333,844 and a working capital deficit of $50,227. During the three and nine months ended September 30, 2025 (Successor), the Company incurred a net loss of $34,735 and $429,684, respectively. We have experienced recurring losses from operations and negative cash flows from operating activities. In addition, we continue to have an ongoing need to raise significant additional cash from outside sources to sustain our operations and fund our growth plans. Refer to Note 18. Subsequent Events for details of equity raised after the quarter end.</w:t>
      </w:r>
    </w:p>
    <w:p>
      <w:pPr>
        <w:pStyle w:val="TextBody"/>
        <w:bidi w:val="0"/>
        <w:spacing w:lineRule="auto" w:line="288" w:before="0" w:after="180"/>
        <w:jc w:val="both"/>
        <w:rPr/>
      </w:pPr>
      <w:r>
        <w:rPr>
          <w:rFonts w:ascii="Times New Roman;serif" w:hAnsi="Times New Roman;serif"/>
          <w:b w:val="false"/>
          <w:color w:val="000000"/>
          <w:sz w:val="20"/>
        </w:rPr>
        <w:t xml:space="preserve">In connection with our assessment of going concern considerations in accordance with Financial Accounting Standard Board’s (“FASB”) Accounting Standards Update (“ASU”) 2014-15, </w:t>
      </w:r>
      <w:r>
        <w:rPr>
          <w:color w:val="000000"/>
        </w:rPr>
        <w:t>“</w:t>
      </w:r>
      <w:r>
        <w:rPr>
          <w:rFonts w:ascii="Times New Roman;serif" w:hAnsi="Times New Roman;serif"/>
          <w:b w:val="false"/>
          <w:i/>
          <w:color w:val="000000"/>
          <w:sz w:val="20"/>
        </w:rPr>
        <w:t>Disclosures of Uncertainties about an Entity’s Ability to Continue as a Going Concern,”</w:t>
      </w:r>
      <w:r>
        <w:rPr>
          <w:color w:val="000000"/>
        </w:rPr>
        <w:t xml:space="preserve"> </w:t>
      </w:r>
      <w:r>
        <w:rPr>
          <w:rFonts w:ascii="Times New Roman;serif" w:hAnsi="Times New Roman;serif"/>
          <w:b w:val="false"/>
          <w:color w:val="000000"/>
          <w:sz w:val="20"/>
        </w:rPr>
        <w:t xml:space="preserve">management has determined that these conditions raise substantial doubt about our ability to continue as a going concern within one year after the filing date of the condensed consolidated financial statements included in Item 1. of this Form 10-Q. If we are unable to obtain adequate capital from public or private equity or debt financing (including the SEPA), or otherwise generate sufficient revenues from our Operating Companies to support our cost structure within the normal operating cycle of a twelve (12) month period, we may have to implement cost reduction measures or adjust the timing or scope of certain operations at Innventure or certain Innventure Companies, in part or in full, to help manage liquidity. If we raise additional funds through the issuance of additional debt or equity securities, it could result in substantial dilution to our existing stockholders and increased fixed payment obligations, and these securities may have rights senior to those of our common stock, $0.0001 par value per share (“Common Stock”).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can make no assurances that required financings will be available for the amounts needed, or on terms commercially acceptable to us, if at all. If subsequent capital raises or revenues from operations at the Innventure Companies are insufficient to bridge financial and liquidity shortfalls (or both), there would likely be a material adverse effect on our business and financial condition that would materially adversely affect our ability to continue as a going concern.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have been prepared assuming that the Company will continue as a going concern within one year after the date of the accompanying condensed consolidated financial statements are issued; however, the above conditions raise substantial doubt about the Company’s ability to do so. The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There can be no assurance that management will be successful in implementing its business plan or that the successful implementation of such business plan will improve our operating results.</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0" w:after="180"/>
        <w:jc w:val="both"/>
        <w:rPr/>
      </w:pPr>
      <w:r>
        <w:rPr>
          <w:rFonts w:ascii="Times New Roman;serif" w:hAnsi="Times New Roman;serif"/>
          <w:b w:val="false"/>
          <w:color w:val="000000"/>
          <w:sz w:val="20"/>
        </w:rPr>
        <w:t xml:space="preserve">In November 2023, the FASB issued ASU 2023-07, </w:t>
      </w:r>
      <w:r>
        <w:rPr>
          <w:rFonts w:ascii="Times New Roman;serif" w:hAnsi="Times New Roman;serif"/>
          <w:b w:val="false"/>
          <w:i/>
          <w:color w:val="000000"/>
          <w:sz w:val="20"/>
        </w:rPr>
        <w:t>Segment Reporting (Topic 280): Improvements to Reportable Segment Disclosures</w:t>
      </w:r>
      <w:r>
        <w:rPr>
          <w:color w:val="000000"/>
        </w:rPr>
        <w:t xml:space="preserve"> </w:t>
      </w:r>
      <w:r>
        <w:rPr>
          <w:rFonts w:ascii="Times New Roman;serif" w:hAnsi="Times New Roman;serif"/>
          <w:b w:val="false"/>
          <w:color w:val="000000"/>
          <w:sz w:val="20"/>
        </w:rPr>
        <w:t>("ASU 2023-07"), which enhances prior reportable segment disclosure requirements in part by requiring entities to disclose significant expenses related to their reportable segments. The amendments in ASU 2023-07 are effective on a retrospective basis for annual periods beginning after December 15, 2023 and interim periods within fiscal years beginning after December 15, 2024. The Company has made the required disclosures related to this ASU within Note 17. Business Segment Data.</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Recently Issued But Not Yet Adopted Accounting Standards</w:t>
      </w:r>
    </w:p>
    <w:p>
      <w:pPr>
        <w:pStyle w:val="TextBody"/>
        <w:bidi w:val="0"/>
        <w:spacing w:lineRule="auto" w:line="288" w:before="0" w:after="180"/>
        <w:jc w:val="both"/>
        <w:rPr/>
      </w:pPr>
      <w:r>
        <w:rPr>
          <w:rFonts w:ascii="Times New Roman;serif" w:hAnsi="Times New Roman;serif"/>
          <w:b w:val="false"/>
          <w:color w:val="000000"/>
          <w:sz w:val="20"/>
        </w:rPr>
        <w:t xml:space="preserve">In October 2023, the FASB issued ASU 2023-06, </w:t>
      </w:r>
      <w:r>
        <w:rPr>
          <w:rFonts w:ascii="Times New Roman;serif" w:hAnsi="Times New Roman;serif"/>
          <w:b w:val="false"/>
          <w:i/>
          <w:color w:val="000000"/>
          <w:sz w:val="20"/>
        </w:rPr>
        <w:t xml:space="preserve">Disclosure Improvements: Codification Amendments in Response to the SEC’s Disclosure Update and Simplification Initiative </w:t>
      </w:r>
      <w:r>
        <w:rPr>
          <w:rFonts w:ascii="Times New Roman;serif" w:hAnsi="Times New Roman;serif"/>
          <w:b w:val="false"/>
          <w:color w:val="000000"/>
          <w:sz w:val="20"/>
        </w:rPr>
        <w:t>(“ASU 2023-06”). This standard modifies the disclosure or presentation requirements of a variety of topics and aligns requirements with the SEC’s existing disclosure requirements. ASU 2023-06 is effective on the date each amendment is removed from Regulation S-X or Regulation S-K with early adoption prohibited. The Company will monitor the removal of various requirements from the current regulations in order to determine when to adopt the related amendments but does not anticipate the adoption of the new guidance will have a material impact on the Company’s consolidated financial statements. The Company will continue to evaluate the impact of this guidance on its consolidated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 Improvements to Income Tax Disclosures</w:t>
      </w:r>
      <w:r>
        <w:rPr>
          <w:color w:val="000000"/>
        </w:rPr>
        <w:t xml:space="preserve"> </w:t>
      </w:r>
      <w:r>
        <w:rPr>
          <w:rFonts w:ascii="Times New Roman;serif" w:hAnsi="Times New Roman;serif"/>
          <w:b w:val="false"/>
          <w:color w:val="000000"/>
          <w:sz w:val="20"/>
        </w:rPr>
        <w:t>("ASU 2023-09"), which requires disaggregated information about a reporting entity's effective tax rate reconciliation as well as information on income taxes paid to enhance the transparency and decision usefulness of income tax disclosures. The amendments in this ASU are effective for annual periods beginning after December 15, 2024 on a prospective basis. The Company is currently evaluating the impact that the adoption of this accounting standard will have on its consolidated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 - Reporting Comprehensive Income - Expense Disaggregation Disclosures (Subtopic 220-40): Disaggregation of Income Statement Expenses </w:t>
      </w:r>
      <w:r>
        <w:rPr>
          <w:rFonts w:ascii="Times New Roman;serif" w:hAnsi="Times New Roman;serif"/>
          <w:b w:val="false"/>
          <w:color w:val="000000"/>
          <w:sz w:val="20"/>
        </w:rPr>
        <w:t>("ASU 2024-03"). In January 2025, the FASB issued Clarifying the Effective Date (“ASU 2025-01”) to add some clarity around the effective date of the guidance. ASU 2024-03 requires disclosures about specific types of expenses included in the expense captions presented on the face of the income statement as well as disclosures about selling expenses. The new standard is effective for fiscal years beginning after December 15, 2026, and for interim periods within fiscal years beginning after December 15, 2027. Early adoption is permitted. The amendments may be applied either prospectively, to financial statements issued after the effective date, or retrospectively, to all prior periods presented. The Company is currently evaluating the impact that the adoption of this accounting standard will have on its consolidated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May 2025, the FASB issued ASU 2025-04, </w:t>
      </w:r>
      <w:r>
        <w:rPr>
          <w:rFonts w:ascii="Times New Roman;serif" w:hAnsi="Times New Roman;serif"/>
          <w:b w:val="false"/>
          <w:i/>
          <w:color w:val="000000"/>
          <w:sz w:val="20"/>
        </w:rPr>
        <w:t>Compensation—Stock Compensation (Topic 718) and Revenue from Contracts with Customers (Topic 606): Clarifications to Share-Based Consideration Payable to a Customer</w:t>
      </w:r>
      <w:r>
        <w:rPr>
          <w:rFonts w:ascii="Times New Roman;serif" w:hAnsi="Times New Roman;serif"/>
          <w:b w:val="false"/>
          <w:color w:val="000000"/>
          <w:sz w:val="20"/>
        </w:rPr>
        <w:t>, which reduces the diversity in practice and improves the decision usefulness and operability of the guidance for share-based consideration payable to a customer in conjunction with selling goods or services. The amendments in this ASU are effective for annual reporting periods (including interim reporting periods within annual reporting periods) beginning after December 15, 2026. Early adoption is permitted. The Company is currently evaluating the impact that the adoption of this accounting standard will have on its consolidated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Financial Instruments - Credit Losses (Topic 326): Measurement of Credit Losses for Accounts Receivable and Contract Assets</w:t>
      </w:r>
      <w:r>
        <w:rPr>
          <w:rFonts w:ascii="Times New Roman;serif" w:hAnsi="Times New Roman;serif"/>
          <w:b w:val="false"/>
          <w:color w:val="000000"/>
          <w:sz w:val="20"/>
        </w:rPr>
        <w:t>, which provides a practical expedient for the application of the current expected credit loss (“CECL”) model to current accounts receivable and contract assets. The amendments in this ASU are effective for the fiscal years beginning after December 15, 2025, and interim reporting periods within those annual reporting periods. Early adoption is permitted. If elected, the amendments in this ASU should be applied prospectively. The Company is currently evaluating the impact ASU 2025-05 will have on its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 - Goodwill and Other - Internal-Use Software (Subtopic 350-40): Targeted Improvements to the Accounting for Internal-Use Software</w:t>
      </w:r>
      <w:r>
        <w:rPr>
          <w:rFonts w:ascii="Times New Roman;serif" w:hAnsi="Times New Roman;serif"/>
          <w:b w:val="false"/>
          <w:color w:val="000000"/>
          <w:sz w:val="20"/>
        </w:rPr>
        <w:t>, which increases the operability of the recognition guidance considering different methods of software development. The amendments in this ASU are effective for the fiscal years beginning after December 15, 2027, and interim reporting periods within those annual reporting periods. Early adoption is permitted as of the beginning of an annual reporting period. If elected, the amendments in this ASU should be applied prospectively. The Company is currently evaluating the impact ASU 2025-06 will have on its consolidated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September 2025, the FASB issued ASU 2025-07, </w:t>
      </w:r>
      <w:r>
        <w:rPr>
          <w:rFonts w:ascii="Times New Roman;serif" w:hAnsi="Times New Roman;serif"/>
          <w:b w:val="false"/>
          <w:i/>
          <w:color w:val="000000"/>
          <w:sz w:val="20"/>
        </w:rPr>
        <w:t>Derivatives and Hedging (Topic 815) and Revenue from Contracts with Customers (Topic 606): Derivatives Scope Refinements and Scope Clarification for Share-Based Noncash Consideration from a Customer in a Revenue Contract</w:t>
      </w:r>
      <w:r>
        <w:rPr>
          <w:rFonts w:ascii="Times New Roman;serif" w:hAnsi="Times New Roman;serif"/>
          <w:b w:val="false"/>
          <w:color w:val="000000"/>
          <w:sz w:val="20"/>
        </w:rPr>
        <w:t>, which is expected to reduce the cost and complexity of evaluating whether contracts with features are derivatives, better portray the economics of those contracts in the financial statements, reduce diversity from the application of the current guidance and changing business environment, and to clarify Topic 606 applicability to share-based noncash consideration for the transfer of goods or services. The amendments in this ASU are effective for the fiscal years beginning after December 15, 2026, and interim reporting periods within those annual reporting periods. Early adoption is permitted. If elected, the amendments in this ASU should be applied prospectively. The Company is currently evaluating the impact ASU 2025-07 will have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3. Investments</w:t>
      </w:r>
    </w:p>
    <w:tbl>
      <w:tblPr>
        <w:tblW w:w="6804" w:type="dxa"/>
        <w:jc w:val="left"/>
        <w:tblInd w:w="0" w:type="dxa"/>
        <w:tblLayout w:type="fixed"/>
        <w:tblCellMar>
          <w:top w:w="28" w:type="dxa"/>
          <w:left w:w="28" w:type="dxa"/>
          <w:bottom w:w="28" w:type="dxa"/>
          <w:right w:w="28" w:type="dxa"/>
        </w:tblCellMar>
      </w:tblPr>
      <w:tblGrid>
        <w:gridCol w:w="1064"/>
        <w:gridCol w:w="935"/>
        <w:gridCol w:w="940"/>
        <w:gridCol w:w="353"/>
        <w:gridCol w:w="1234"/>
        <w:gridCol w:w="182"/>
        <w:gridCol w:w="109"/>
        <w:gridCol w:w="109"/>
        <w:gridCol w:w="109"/>
        <w:gridCol w:w="339"/>
        <w:gridCol w:w="1183"/>
        <w:gridCol w:w="247"/>
      </w:tblGrid>
      <w:tr>
        <w:trPr/>
        <w:tc>
          <w:tcPr>
            <w:tcW w:w="106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Equity-method investments</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21,805 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17,547 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debt securities - AFS</w:t>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Total Investments </w:t>
            </w:r>
          </w:p>
        </w:tc>
        <w:tc>
          <w:tcPr>
            <w:tcW w:w="3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31,207</w:t>
            </w:r>
            <w:r>
              <w:rPr>
                <w:color w:val="000000"/>
              </w:rPr>
              <w:t> </w:t>
            </w:r>
          </w:p>
        </w:tc>
        <w:tc>
          <w:tcPr>
            <w:tcW w:w="1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28,734</w:t>
            </w:r>
            <w:r>
              <w:rPr>
                <w:color w:val="000000"/>
              </w:rPr>
              <w:t> </w:t>
            </w:r>
          </w:p>
        </w:tc>
        <w:tc>
          <w:tcPr>
            <w:tcW w:w="2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i/>
          <w:color w:val="000000"/>
          <w:sz w:val="20"/>
        </w:rPr>
        <w:t>Equity-method investments</w:t>
      </w:r>
      <w:r>
        <w:rPr>
          <w:color w:val="000000"/>
        </w:rPr>
        <w:t xml:space="preserve">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ESG Fund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Innventus ESG Fund I, L.P. (the “ESG Fund”) is an investment company that follows a specialized basis of accounting established by GAAP. The Company’s general partnership interest in the ESG Fund is substantially illiquid. While the ESG Fund’s holdings are accounted for at fair value, the equity-method investment in the ESG Fund is adjusted to reflect the fair value of the underlying investments of the ESG Fund as of September 30, 2025 and December 31, 2024. The fair value of the underlying investments in the ESG Fund is based on the Company’s assessment, which takes into account expected cash flows, earnings multiples and/or comparisons to similar market transactions, among other factors. Valuation adjustments reflecting consideration of credit quality, concentration risk, sales restrictions and other liquidity factors are integral to valuing these instruments.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AeroFlexx</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held a 37% and 34% equity method investment interest in AeroFlexx as of September 30, 2025 and December 31, 2024, respectively.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Investment in debt securities - Available for Sale (“AFS”)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July 1, 2024, the Company entered into a loan agreement with AeroFlexx under which the Company will lend up to $10,000 to AeroFlexx.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term loans and any unpaid accrued interest are required to be repaid by the maturity date, which is the earlier of (i) December 31, 2026 or (ii) the date of the sale, transfer or other disposition of all AeroFlexx’s assets or AeroFlexx's stock. After any full or partial repayment of the term loans, AeroFlexx may borrow additional funds up to the $10,000 limit until the maturity date. The loans bear interest at the applicable federal rate published by the Internal Revenue Service and is adjusted on a quarterly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has an option to convert the outstanding principal amount of the term loans and any unpaid accrued interest into shares or units in connection with the next issuance of equity securities by AeroFlexx, at a price equal to 100% of the price per share or unit and on the same terms and conditions as applicable to such issuance.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2024, the Company lent AeroFlexx the entire $10,000 principal balance under this agreement. As of January 1, 2025, AeroFlexx was unable to raise any additional equity financing; therefore, the outstanding principal and unpaid accrued interest with an amount equal to the equity deficit of $7,250 was automatically converted into Class D preferred units of AeroFlexx at the price of $6.83 per share in accordance with the loan agreement. Upon conversion, a realized gain of $1,507 was recognized for the nine months ended September 30, 2025 (Successor) and is included in non-operating income in the condensed consolidated statements of operations and comprehensive income (loss).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total principal balance drawn as of September 30, 2025 was $10,000. During the nine months ended September 30, 2025 (Successor), $4,375 was reclassified from Due from related parties under the term loan and $2,708 was drawn down by AeroFlexx under the term loan.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accounted for the loans as an investment in debt securities and classified them as available for sale (“AFS”) debt securities. Based on the AFS classification, the Company records this investment at fair value at each reporting date and as such recorded the changes in fair value of these loans (including the adjustment to fair value at inception date) in Other comprehensive income ("OCI").</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the contractual maturity of the loan is December 31, 2026, it is included in the non-current line item Investments of the condensed consolidated balance sheets. The increase of $281 and decrease of $410 in fair value of this investment in debt securities for the three and nine months ended September 30, 2025 (Successor), respectively, is included as Unrealized gain (loss) on available for sale debt securities - related party in the condensed consolidated statements of operations and comprehensive income (loss).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Company’s carrying amount and maximum exposure relating to AeroFlexx advances and other receivables were $7,071 and $4,472 as of September 30, 2025 and December 31, 2024, included in Due from related parties on the condensed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4. Fair Value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the Company’s fair value hierarchy for assets and liabilities measured at fair value on a recurring basis as of September 30, 2025 and December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tbl>
      <w:tblPr>
        <w:tblW w:w="10205" w:type="dxa"/>
        <w:jc w:val="left"/>
        <w:tblInd w:w="0" w:type="dxa"/>
        <w:tblLayout w:type="fixed"/>
        <w:tblCellMar>
          <w:top w:w="28" w:type="dxa"/>
          <w:left w:w="28" w:type="dxa"/>
          <w:bottom w:w="28" w:type="dxa"/>
          <w:right w:w="28" w:type="dxa"/>
        </w:tblCellMar>
      </w:tblPr>
      <w:tblGrid>
        <w:gridCol w:w="1474"/>
        <w:gridCol w:w="1276"/>
        <w:gridCol w:w="1280"/>
        <w:gridCol w:w="390"/>
        <w:gridCol w:w="753"/>
        <w:gridCol w:w="204"/>
        <w:gridCol w:w="109"/>
        <w:gridCol w:w="109"/>
        <w:gridCol w:w="109"/>
        <w:gridCol w:w="460"/>
        <w:gridCol w:w="887"/>
        <w:gridCol w:w="238"/>
        <w:gridCol w:w="109"/>
        <w:gridCol w:w="109"/>
        <w:gridCol w:w="109"/>
        <w:gridCol w:w="287"/>
        <w:gridCol w:w="839"/>
        <w:gridCol w:w="150"/>
        <w:gridCol w:w="109"/>
        <w:gridCol w:w="109"/>
        <w:gridCol w:w="109"/>
        <w:gridCol w:w="211"/>
        <w:gridCol w:w="616"/>
        <w:gridCol w:w="159"/>
      </w:tblGrid>
      <w:tr>
        <w:trPr/>
        <w:tc>
          <w:tcPr>
            <w:tcW w:w="1474"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September 30, 2025</w:t>
            </w:r>
          </w:p>
        </w:tc>
        <w:tc>
          <w:tcPr>
            <w:tcW w:w="13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Quoted Prices</w:t>
              <w:br/>
              <w:t>in Active</w:t>
              <w:br/>
              <w:t>Markets for</w:t>
              <w:br/>
              <w:t>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Significant Other</w:t>
              <w:br/>
              <w:t>Observable 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0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debt security - AFS</w:t>
            </w:r>
          </w:p>
        </w:tc>
        <w:tc>
          <w:tcPr>
            <w:tcW w:w="3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derivative asset - Convertible Debentures</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liability</w:t>
            </w:r>
          </w:p>
        </w:tc>
        <w:tc>
          <w:tcPr>
            <w:tcW w:w="3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2024 WTI Warrant liability</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12,720 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12,720 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WTI Warrant liability</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 liability</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6,392 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derivative liability - August 2025 Notes</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78"/>
        <w:gridCol w:w="575"/>
        <w:gridCol w:w="577"/>
        <w:gridCol w:w="695"/>
        <w:gridCol w:w="1340"/>
        <w:gridCol w:w="364"/>
        <w:gridCol w:w="109"/>
        <w:gridCol w:w="109"/>
        <w:gridCol w:w="109"/>
        <w:gridCol w:w="569"/>
        <w:gridCol w:w="1095"/>
        <w:gridCol w:w="295"/>
        <w:gridCol w:w="109"/>
        <w:gridCol w:w="109"/>
        <w:gridCol w:w="109"/>
        <w:gridCol w:w="393"/>
        <w:gridCol w:w="1346"/>
        <w:gridCol w:w="205"/>
        <w:gridCol w:w="109"/>
        <w:gridCol w:w="109"/>
        <w:gridCol w:w="109"/>
        <w:gridCol w:w="211"/>
        <w:gridCol w:w="721"/>
        <w:gridCol w:w="160"/>
      </w:tblGrid>
      <w:tr>
        <w:trPr/>
        <w:tc>
          <w:tcPr>
            <w:tcW w:w="67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23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Quoted Prices in Active Markets for 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Significant Other Observable 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Significant Unobservable Inputs </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2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debt security - AFS</w:t>
            </w:r>
          </w:p>
        </w:tc>
        <w:tc>
          <w:tcPr>
            <w:tcW w:w="6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liability</w:t>
            </w:r>
          </w:p>
        </w:tc>
        <w:tc>
          <w:tcPr>
            <w:tcW w:w="6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14,752 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14,752 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WTI Warrant liability</w:t>
            </w:r>
          </w:p>
        </w:tc>
        <w:tc>
          <w:tcPr>
            <w:tcW w:w="2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17,230 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 liability</w:t>
            </w:r>
          </w:p>
        </w:tc>
        <w:tc>
          <w:tcPr>
            <w:tcW w:w="2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16,793 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16,793 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Gains and losses for such assets and liabilities categorized within the Level 3 table set forth may include changes in fair value that are attributable to both observable inputs (Levels 1 and 2) and unobservable inputs (Level 3).</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the estimated fair value of Level 3 financial assets and liabilities that are measured on a recurring basis for the nine months ended September 30, 2025 (Successor) and the nine months ended September 30, 2024 (Predecessor), respectively, are as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tbl>
      <w:tblPr>
        <w:tblW w:w="10205" w:type="dxa"/>
        <w:jc w:val="left"/>
        <w:tblInd w:w="0" w:type="dxa"/>
        <w:tblLayout w:type="fixed"/>
        <w:tblCellMar>
          <w:top w:w="28" w:type="dxa"/>
          <w:left w:w="28" w:type="dxa"/>
          <w:bottom w:w="28" w:type="dxa"/>
          <w:right w:w="28" w:type="dxa"/>
        </w:tblCellMar>
      </w:tblPr>
      <w:tblGrid>
        <w:gridCol w:w="638"/>
        <w:gridCol w:w="451"/>
        <w:gridCol w:w="453"/>
        <w:gridCol w:w="325"/>
        <w:gridCol w:w="976"/>
        <w:gridCol w:w="171"/>
        <w:gridCol w:w="277"/>
        <w:gridCol w:w="831"/>
        <w:gridCol w:w="144"/>
        <w:gridCol w:w="239"/>
        <w:gridCol w:w="836"/>
        <w:gridCol w:w="123"/>
        <w:gridCol w:w="217"/>
        <w:gridCol w:w="760"/>
        <w:gridCol w:w="112"/>
        <w:gridCol w:w="232"/>
        <w:gridCol w:w="810"/>
        <w:gridCol w:w="119"/>
        <w:gridCol w:w="236"/>
        <w:gridCol w:w="706"/>
        <w:gridCol w:w="122"/>
        <w:gridCol w:w="352"/>
        <w:gridCol w:w="804"/>
        <w:gridCol w:w="271"/>
      </w:tblGrid>
      <w:tr>
        <w:trPr/>
        <w:tc>
          <w:tcPr>
            <w:tcW w:w="63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Embedded derivative liability - convertible promissory notes</w:t>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Embedded derivative liability - August 2025 Notes</w:t>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Investment in debt securities - AFS</w:t>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Earnout liability</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 WTI Warrant liability</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WTI Warrant liability</w:t>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Embedded derivative liability (asset) - Convertible Debentures</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Balance as of January 1, 2024 (Predecessor)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1,994</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September 30, 2024 (Predecessor)</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January 1, 2025 (Successor)</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11,187</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14,752</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17,230</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and derecognitions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September 30, 2025 (Successor)</w:t>
            </w:r>
          </w:p>
        </w:tc>
        <w:tc>
          <w:tcPr>
            <w:tcW w:w="3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1,677</w:t>
            </w:r>
            <w:r>
              <w:rPr>
                <w:color w:val="000000"/>
              </w:rPr>
              <w:t> </w:t>
            </w:r>
          </w:p>
        </w:tc>
        <w:tc>
          <w:tcPr>
            <w:tcW w:w="1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9,402</w:t>
            </w:r>
            <w:r>
              <w:rPr>
                <w:color w:val="000000"/>
              </w:rPr>
              <w:t> </w:t>
            </w:r>
          </w:p>
        </w:tc>
        <w:tc>
          <w:tcPr>
            <w:tcW w:w="1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5,460</w:t>
            </w:r>
            <w:r>
              <w:rPr>
                <w:color w:val="000000"/>
              </w:rPr>
              <w:t> </w:t>
            </w:r>
          </w:p>
        </w:tc>
        <w:tc>
          <w:tcPr>
            <w:tcW w:w="1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12,720</w:t>
            </w:r>
            <w:r>
              <w:rPr>
                <w:color w:val="000000"/>
              </w:rPr>
              <w:t> </w:t>
            </w:r>
          </w:p>
        </w:tc>
        <w:tc>
          <w:tcPr>
            <w:tcW w:w="1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3,630</w:t>
            </w:r>
            <w:r>
              <w:rPr>
                <w:color w:val="000000"/>
              </w:rPr>
              <w:t> </w:t>
            </w:r>
          </w:p>
        </w:tc>
        <w:tc>
          <w:tcPr>
            <w:tcW w:w="1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(204)</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transfers in or out of levels during the three and nine months ended September 30, 2025 (Successor) nor for the three and nine months ended September 30, 2024 (Predecessor).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significant unobservable inputs (Level 3):</w:t>
      </w:r>
    </w:p>
    <w:tbl>
      <w:tblPr>
        <w:tblW w:w="9265" w:type="dxa"/>
        <w:jc w:val="left"/>
        <w:tblInd w:w="0" w:type="dxa"/>
        <w:tblLayout w:type="fixed"/>
        <w:tblCellMar>
          <w:top w:w="28" w:type="dxa"/>
          <w:left w:w="28" w:type="dxa"/>
          <w:bottom w:w="28" w:type="dxa"/>
          <w:right w:w="28" w:type="dxa"/>
        </w:tblCellMar>
      </w:tblPr>
      <w:tblGrid>
        <w:gridCol w:w="124"/>
        <w:gridCol w:w="109"/>
        <w:gridCol w:w="109"/>
        <w:gridCol w:w="814"/>
        <w:gridCol w:w="814"/>
        <w:gridCol w:w="816"/>
        <w:gridCol w:w="979"/>
        <w:gridCol w:w="979"/>
        <w:gridCol w:w="982"/>
        <w:gridCol w:w="340"/>
        <w:gridCol w:w="993"/>
        <w:gridCol w:w="437"/>
        <w:gridCol w:w="326"/>
        <w:gridCol w:w="954"/>
        <w:gridCol w:w="4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Principal Valuation</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Techniques</w:t>
            </w:r>
          </w:p>
        </w:tc>
        <w:tc>
          <w:tcPr>
            <w:tcW w:w="29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Unobservable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Inputs</w:t>
            </w:r>
          </w:p>
        </w:tc>
        <w:tc>
          <w:tcPr>
            <w:tcW w:w="17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1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9265"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Investment in debt securities - AFS: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Black-Scholes Model</w:t>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to liquidity</w:t>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years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for lack of marketability</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cost of capital</w:t>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Discounted Cash Flows</w:t>
            </w:r>
          </w:p>
        </w:tc>
        <w:tc>
          <w:tcPr>
            <w:tcW w:w="294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AeroFlexx yield</w:t>
            </w:r>
          </w:p>
        </w:tc>
        <w:tc>
          <w:tcPr>
            <w:tcW w:w="1333"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43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6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265"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Earnout Shares:</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Geometric Brownian Motion</w:t>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w:t>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years</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years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risk premium</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26.20 </w:t>
            </w:r>
          </w:p>
        </w:tc>
        <w:tc>
          <w:tcPr>
            <w:tcW w:w="4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volatility</w:t>
            </w:r>
          </w:p>
        </w:tc>
        <w:tc>
          <w:tcPr>
            <w:tcW w:w="133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148.00 </w:t>
            </w:r>
          </w:p>
        </w:tc>
        <w:tc>
          <w:tcPr>
            <w:tcW w:w="43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176.00 </w:t>
            </w:r>
          </w:p>
        </w:tc>
        <w:tc>
          <w:tcPr>
            <w:tcW w:w="48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265"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2024 WTI Warrants: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Geometric Brownian Motion</w:t>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 volatility</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59.00 </w:t>
            </w:r>
          </w:p>
        </w:tc>
        <w:tc>
          <w:tcPr>
            <w:tcW w:w="4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56.00 </w:t>
            </w:r>
          </w:p>
        </w:tc>
        <w:tc>
          <w:tcPr>
            <w:tcW w:w="4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spread</w:t>
            </w:r>
          </w:p>
        </w:tc>
        <w:tc>
          <w:tcPr>
            <w:tcW w:w="133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43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48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265"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2025 WTI Warrants: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Geometric Brownian Motion</w:t>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 volatility</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58.00 </w:t>
            </w:r>
          </w:p>
        </w:tc>
        <w:tc>
          <w:tcPr>
            <w:tcW w:w="4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spread</w:t>
            </w:r>
          </w:p>
        </w:tc>
        <w:tc>
          <w:tcPr>
            <w:tcW w:w="133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43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6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265"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Embedded derivative asset - Convertible Debentures: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Binomial Lattice Model</w:t>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 volatility</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4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yield</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spread</w:t>
            </w:r>
          </w:p>
        </w:tc>
        <w:tc>
          <w:tcPr>
            <w:tcW w:w="1333"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43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6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265"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Embedded derivative liability - August 2025 Notes:</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Black-Scholes Model</w:t>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4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to liquidity</w:t>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4.25 years</w:t>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Accelsius Series B-1 issuance price</w:t>
            </w:r>
          </w:p>
        </w:tc>
        <w:tc>
          <w:tcPr>
            <w:tcW w:w="3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36.49 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further discussed and defined in Note 5. Borrowings, the Company issued Convertible Debentures (as defined below) which contain certain features which qualify as embedded derivates requiring bifurcation. The fair value of the embedded derivative is determined utilizing a “with and without” method, in which the fair value is calculated as the difference in the fair value of the entire hybrid instrument and the fair value of the instrument excluding the bifurcated derivative features. The initial fair value of the embedded derivative was determined using a discounted cash flow model as of April 14, 2025 and May 15, 2025 which is reflective of the dates of the Convertible Debenture issuances. The model uses a significant assumption of a debt yield of 44.5% for the April 14, 2025 issuance and 42.6% for the May 15, 2025 issuance.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further discussed in Note 3. Investments, outstanding principal and accrued interest of $7,250 for the investment in debt securities - AFS was automatically converted into Class D preferred units in accordance with the loan agreement. Prior to the conversion, the fair value was estimated using a Black Scholes model. Post conversion, the fair value is estimated using a discounted cash flow model by discounting the contractual debt cash flows at a rate incorporating the credit risk of AeroFlexx.</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initial fair value of the 2025 WTI Warrants (as defined and further described below) was determined using a Monte Carlo valuation model in which the future stock price is simulated assuming a Geometric Brownian Motion in a risk-neutral framework. The model utilizes significant assumptions including stock price, stock price volatility and credit spread. Specifically, the initial valuation as of the April 14, 2025 issuance date considered a stock price of $3.65, stock price volatility of 57.00%, and credit spread of 27.70%. The credit spread relates to estimated counterparty credit risk of Innventure being able to make payments related to the WTI Lenders’ put right, in which the WTI Lenders may exchange the 2025 WTI Warrants for a total cash payment of $3,000 after the 10-year anniversary of issuance. The risk-free interest rate was determined by reference to the U.S. Treasury yield curve.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At the time of issuance of the August 2025 Notes, the related embedded derivative liability had a de minimis fair value. As of September 30, 2025, the Company recognized $1,677 for the embedded derivative liability related to the contingent exchange feature. The fair value was determined using a Black-Scholes valuation model, utilizing inputs related to the risk-free rate, volatility, time to liquidity, and the Accelsius Series B-1 issuance price, as further defined in Note 18. Subsequent Events. Specifically, the September 30, 2025 valuation considered a risk-free rate of 3.66%, volatility of 70.00%, time to liquidity of 4.25 years, and an Accelsius Series B-1 unit issuance price of $36.49.</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further information on the Earnout Shares (as defined below), 2024 WTI Warrants (as defined below), and 2025 WTI Warrants, refer to Note 9. Earnout Shares and Note 10.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5. Borrowings</w:t>
      </w:r>
    </w:p>
    <w:tbl>
      <w:tblPr>
        <w:tblW w:w="10205" w:type="dxa"/>
        <w:jc w:val="left"/>
        <w:tblInd w:w="0" w:type="dxa"/>
        <w:tblLayout w:type="fixed"/>
        <w:tblCellMar>
          <w:top w:w="28" w:type="dxa"/>
          <w:left w:w="28" w:type="dxa"/>
          <w:bottom w:w="28" w:type="dxa"/>
          <w:right w:w="28" w:type="dxa"/>
        </w:tblCellMar>
      </w:tblPr>
      <w:tblGrid>
        <w:gridCol w:w="1330"/>
        <w:gridCol w:w="1076"/>
        <w:gridCol w:w="1079"/>
        <w:gridCol w:w="353"/>
        <w:gridCol w:w="353"/>
        <w:gridCol w:w="355"/>
        <w:gridCol w:w="309"/>
        <w:gridCol w:w="1082"/>
        <w:gridCol w:w="159"/>
        <w:gridCol w:w="367"/>
        <w:gridCol w:w="367"/>
        <w:gridCol w:w="369"/>
        <w:gridCol w:w="109"/>
        <w:gridCol w:w="109"/>
        <w:gridCol w:w="109"/>
        <w:gridCol w:w="303"/>
        <w:gridCol w:w="1060"/>
        <w:gridCol w:w="157"/>
        <w:gridCol w:w="336"/>
        <w:gridCol w:w="336"/>
        <w:gridCol w:w="487"/>
      </w:tblGrid>
      <w:tr>
        <w:trPr/>
        <w:tc>
          <w:tcPr>
            <w:tcW w:w="1330"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3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Maturities</w:t>
            </w:r>
          </w:p>
        </w:tc>
        <w:tc>
          <w:tcPr>
            <w:tcW w:w="15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110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Interest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11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Interest Rates</w:t>
            </w:r>
          </w:p>
        </w:tc>
      </w:tr>
      <w:tr>
        <w:trPr/>
        <w:tc>
          <w:tcPr>
            <w:tcW w:w="3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notes</w:t>
            </w:r>
          </w:p>
        </w:tc>
        <w:tc>
          <w:tcPr>
            <w:tcW w:w="10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2024 - 2025</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 - 15.99%</w:t>
            </w:r>
          </w:p>
        </w:tc>
      </w:tr>
      <w:tr>
        <w:trPr/>
        <w:tc>
          <w:tcPr>
            <w:tcW w:w="34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Series 1 promissory notes</w:t>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2025 - 2026</w:t>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 - 15%</w:t>
            </w:r>
          </w:p>
        </w:tc>
      </w:tr>
      <w:tr>
        <w:trPr/>
        <w:tc>
          <w:tcPr>
            <w:tcW w:w="3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convertible notes</w:t>
            </w:r>
          </w:p>
        </w:tc>
        <w:tc>
          <w:tcPr>
            <w:tcW w:w="10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2025 - 2026</w:t>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3.94% - 15%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debentures</w:t>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r>
              <w:rPr>
                <w:rFonts w:ascii="Times New Roman;serif" w:hAnsi="Times New Roman;serif"/>
                <w:b w:val="false"/>
                <w:color w:val="000000"/>
                <w:sz w:val="20"/>
              </w:rPr>
              <w:t>% - 5%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convertible notes</w:t>
            </w:r>
          </w:p>
        </w:tc>
        <w:tc>
          <w:tcPr>
            <w:tcW w:w="10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2025 notes</w:t>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WTI Facility</w:t>
            </w:r>
          </w:p>
        </w:tc>
        <w:tc>
          <w:tcPr>
            <w:tcW w:w="10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13.50%</w:t>
            </w:r>
          </w:p>
        </w:tc>
      </w:tr>
      <w:tr>
        <w:trPr/>
        <w:tc>
          <w:tcPr>
            <w:tcW w:w="34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Total Notes Payable </w:t>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73,906</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34,725</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discount</w:t>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related party notes payable</w:t>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related party convertible notes</w:t>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notes payable</w:t>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(34,398)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Total Long-term Notes </w:t>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29,514</w:t>
            </w:r>
            <w:r>
              <w:rPr>
                <w:color w:val="000000"/>
              </w:rPr>
              <w:t> </w:t>
            </w:r>
          </w:p>
        </w:tc>
        <w:tc>
          <w:tcPr>
            <w:tcW w:w="1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13,654</w:t>
            </w:r>
            <w:r>
              <w:rPr>
                <w:color w:val="000000"/>
              </w:rPr>
              <w:t> </w:t>
            </w:r>
          </w:p>
        </w:tc>
        <w:tc>
          <w:tcPr>
            <w:tcW w:w="1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debt is carried on a historical cost basis net of unamortized discounts and premiums. Costs associated with acquiring debt are presented in the condensed consolidated balance sheets as a direct deduction from the carrying amount of the debt as a debt discount. Discounts on debt are amortized over the contractual life of the related debt instrument using the effective interest method (unless otherwise specified below) and are included in Interest expense, net in the condensed consolidated statements of operations and comprehensive income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notes payable, excluding debt issuance costs, mature as follows:</w:t>
      </w:r>
    </w:p>
    <w:tbl>
      <w:tblPr>
        <w:tblW w:w="3501" w:type="dxa"/>
        <w:jc w:val="left"/>
        <w:tblInd w:w="0" w:type="dxa"/>
        <w:tblLayout w:type="fixed"/>
        <w:tblCellMar>
          <w:top w:w="28" w:type="dxa"/>
          <w:left w:w="28" w:type="dxa"/>
          <w:bottom w:w="28" w:type="dxa"/>
          <w:right w:w="28" w:type="dxa"/>
        </w:tblCellMar>
      </w:tblPr>
      <w:tblGrid>
        <w:gridCol w:w="868"/>
        <w:gridCol w:w="765"/>
        <w:gridCol w:w="767"/>
        <w:gridCol w:w="211"/>
        <w:gridCol w:w="736"/>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Year Ending December 31,</w:t>
            </w:r>
          </w:p>
        </w:tc>
        <w:tc>
          <w:tcPr>
            <w:tcW w:w="110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(remaining 3 months)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Total Debt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73,906</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Series 1 Promissory Notes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2018, the Company authorized the issuance and sale of unsecured promissory notes to investors up to $35,000 (the “Series 1 promissory notes”). From 2018 to 2021, the Company issued promissory notes with a total principal amount of $4,936. The notes require monthly interest payments, have an original maturity period of 36-48 months, and bear interest at 9%-12% per annum. The notes contain two term extension options, at the Company’s election, which can extend the notes’ maturity period to 60 months in total. If the Company elects its first term extension option, the note will bear interest at 12% for months 36 through 48. If the Company elects its second term extension option, the notes will bear interest at 15% for months 48 through 60.</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Extensions on Series 1 promissory notes were as follows:</w:t>
      </w:r>
    </w:p>
    <w:tbl>
      <w:tblPr>
        <w:tblW w:w="10205" w:type="dxa"/>
        <w:jc w:val="left"/>
        <w:tblInd w:w="0" w:type="dxa"/>
        <w:tblLayout w:type="fixed"/>
        <w:tblCellMar>
          <w:top w:w="28" w:type="dxa"/>
          <w:left w:w="28" w:type="dxa"/>
          <w:bottom w:w="28" w:type="dxa"/>
          <w:right w:w="28" w:type="dxa"/>
        </w:tblCellMar>
      </w:tblPr>
      <w:tblGrid>
        <w:gridCol w:w="634"/>
        <w:gridCol w:w="557"/>
        <w:gridCol w:w="558"/>
        <w:gridCol w:w="281"/>
        <w:gridCol w:w="281"/>
        <w:gridCol w:w="282"/>
        <w:gridCol w:w="403"/>
        <w:gridCol w:w="776"/>
        <w:gridCol w:w="210"/>
        <w:gridCol w:w="109"/>
        <w:gridCol w:w="109"/>
        <w:gridCol w:w="109"/>
        <w:gridCol w:w="109"/>
        <w:gridCol w:w="109"/>
        <w:gridCol w:w="109"/>
        <w:gridCol w:w="456"/>
        <w:gridCol w:w="879"/>
        <w:gridCol w:w="237"/>
        <w:gridCol w:w="109"/>
        <w:gridCol w:w="109"/>
        <w:gridCol w:w="109"/>
        <w:gridCol w:w="373"/>
        <w:gridCol w:w="823"/>
        <w:gridCol w:w="193"/>
        <w:gridCol w:w="109"/>
        <w:gridCol w:w="109"/>
        <w:gridCol w:w="109"/>
        <w:gridCol w:w="109"/>
        <w:gridCol w:w="109"/>
        <w:gridCol w:w="109"/>
        <w:gridCol w:w="410"/>
        <w:gridCol w:w="907"/>
        <w:gridCol w:w="310"/>
      </w:tblGrid>
      <w:tr>
        <w:trPr/>
        <w:tc>
          <w:tcPr>
            <w:tcW w:w="63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1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1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Interest Rate</w:t>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 (Predecessor)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 (Predecessor)</w:t>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amount of 1st extension promissory notes</w:t>
            </w:r>
          </w:p>
        </w:tc>
        <w:tc>
          <w:tcPr>
            <w:tcW w:w="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amount of 2nd extension promissory notes</w:t>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4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Interest expense on Series 1 promissory notes was as follows:</w:t>
      </w:r>
    </w:p>
    <w:tbl>
      <w:tblPr>
        <w:tblW w:w="10205" w:type="dxa"/>
        <w:jc w:val="left"/>
        <w:tblInd w:w="0" w:type="dxa"/>
        <w:tblLayout w:type="fixed"/>
        <w:tblCellMar>
          <w:top w:w="28" w:type="dxa"/>
          <w:left w:w="28" w:type="dxa"/>
          <w:bottom w:w="28" w:type="dxa"/>
          <w:right w:w="28" w:type="dxa"/>
        </w:tblCellMar>
      </w:tblPr>
      <w:tblGrid>
        <w:gridCol w:w="674"/>
        <w:gridCol w:w="592"/>
        <w:gridCol w:w="595"/>
        <w:gridCol w:w="486"/>
        <w:gridCol w:w="833"/>
        <w:gridCol w:w="253"/>
        <w:gridCol w:w="109"/>
        <w:gridCol w:w="109"/>
        <w:gridCol w:w="109"/>
        <w:gridCol w:w="109"/>
        <w:gridCol w:w="109"/>
        <w:gridCol w:w="109"/>
        <w:gridCol w:w="544"/>
        <w:gridCol w:w="931"/>
        <w:gridCol w:w="283"/>
        <w:gridCol w:w="109"/>
        <w:gridCol w:w="109"/>
        <w:gridCol w:w="109"/>
        <w:gridCol w:w="486"/>
        <w:gridCol w:w="833"/>
        <w:gridCol w:w="253"/>
        <w:gridCol w:w="109"/>
        <w:gridCol w:w="109"/>
        <w:gridCol w:w="109"/>
        <w:gridCol w:w="109"/>
        <w:gridCol w:w="109"/>
        <w:gridCol w:w="109"/>
        <w:gridCol w:w="456"/>
        <w:gridCol w:w="1011"/>
        <w:gridCol w:w="340"/>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4"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 (Predecessor)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 (Predecessor)</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attributable to contractual interest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Related Party Notes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unsecured promissory notes with two related parties, the first on August 20, 2024, for a principal amount of $10,000, and the second on August 22, 2024, for a principal amount of $2,000. The Company entered into amended and restated agreements to amend the terms of these unsecured promissory notes on October 1, 2024. As per the original agreements, the note with the first party contained a loan fee of $1,000 which was payable with the repayment of the principal amount of the note and the note with the second party contained interest at the rate of 11.50% per annum.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per the amended note with the first party, the maturity date was extended to the earlier of (i) January 31, 2025 or (ii) the first business day following the date on which the Company has sufficient capital to be able to repay all amounts outstanding under the note and otherwise meet its expected working capital needs as determined by the Company in its reasonable discretion. The loan fee of $1,000, required under the original agreement, became due on or around the amendment date and interest will accrue at the rate of 15.99% per annum until paid. The amendment was accounted for as a troubled debt restructuring as the Company was provided a concession through a decrease in the effective interest rate. However, no gain or loss was recognized as a result.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per the amended note with the second party, the maturity date was extended to January 31, 2025 and the interest rate was increased to 13.50% per annum. Additionally, $1,000 of the principal amount became due on or around the amendment date.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Interest expense on the related party notes was as follows:</w:t>
      </w:r>
    </w:p>
    <w:tbl>
      <w:tblPr>
        <w:tblW w:w="10205" w:type="dxa"/>
        <w:jc w:val="left"/>
        <w:tblInd w:w="0" w:type="dxa"/>
        <w:tblLayout w:type="fixed"/>
        <w:tblCellMar>
          <w:top w:w="28" w:type="dxa"/>
          <w:left w:w="28" w:type="dxa"/>
          <w:bottom w:w="28" w:type="dxa"/>
          <w:right w:w="28" w:type="dxa"/>
        </w:tblCellMar>
      </w:tblPr>
      <w:tblGrid>
        <w:gridCol w:w="450"/>
        <w:gridCol w:w="394"/>
        <w:gridCol w:w="398"/>
        <w:gridCol w:w="501"/>
        <w:gridCol w:w="965"/>
        <w:gridCol w:w="260"/>
        <w:gridCol w:w="109"/>
        <w:gridCol w:w="109"/>
        <w:gridCol w:w="109"/>
        <w:gridCol w:w="109"/>
        <w:gridCol w:w="109"/>
        <w:gridCol w:w="109"/>
        <w:gridCol w:w="554"/>
        <w:gridCol w:w="1069"/>
        <w:gridCol w:w="288"/>
        <w:gridCol w:w="109"/>
        <w:gridCol w:w="109"/>
        <w:gridCol w:w="109"/>
        <w:gridCol w:w="463"/>
        <w:gridCol w:w="1023"/>
        <w:gridCol w:w="240"/>
        <w:gridCol w:w="109"/>
        <w:gridCol w:w="109"/>
        <w:gridCol w:w="109"/>
        <w:gridCol w:w="109"/>
        <w:gridCol w:w="109"/>
        <w:gridCol w:w="109"/>
        <w:gridCol w:w="534"/>
        <w:gridCol w:w="1030"/>
        <w:gridCol w:w="401"/>
      </w:tblGrid>
      <w:tr>
        <w:trPr/>
        <w:tc>
          <w:tcPr>
            <w:tcW w:w="45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 (Predecessor)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 (Predecessor)</w:t>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5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2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to the related party notes above, the Company also had a related party note for $1,000 through an unsecured promissory note with an additional related party dated May 2, 2024. As per the terms of the executed agreement, the principal amount became due on December 21, 2024 and interest will accrue at the rate of 8.00% per annum. Upon maturity, the Company is required to repay the outstanding principal amount of $1,000 and a loan fee equal to approximately $63.</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March 20, 2025, in connection with the issuance of Series C Preferred Stock (as defined below), the Company extinguished the outstanding amount of related party notes. The Company recognized a loss of $— and $3,538 in Loss on extinguishment of related party debt on the condensed consolidated statements of operations and comprehensive income (loss) for the three and nine months ended September 30, 2025 (Successor), respectively.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WTI Facility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22, 2024, the Company entered into a term loan with WTI Fund X, Inc. and WTI Fund XI, Inc., (collectively, “WTI Lenders”). The terms of the loan provides for a term loan facility in the aggregate principal amount of up to $50,000 (the "WTI Facility"). The total aggregate principal was available in three separate tranches subject to the Company meeting certain conditions. The Company received $20,000 (the “First Tranche”) on November 15, 2024. The First Tranche, principal and interest, shall be repaid over a period of 30 months in equal, monthly installments, commencing after an initial 12-month period of interest-only monthly payments, resulting in a total term of 42 months. The interest rate on the outstanding principal amounts under the WTI Facility for the three and nine months ended September 30, 2025 (Successor) was 13.50%.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Borrowings under the WTI Facility will accrue interest at a rate per annum equal to the greater of (i) the “prime rate” of interest, as published by The Wall Street Journal on the date that the WTI Lenders prepare the promissory notes for the borrowings under such tranche, plus 5% and (ii) 13.50% and will amortize, after an interest-only period of twelve months in the case of the First Tranche in equal monthly installments over a period of thirty months. Obligations are secured by a lien on the majority of the assets of Innventure LLC and Innventure, Inc.</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WTI Facility, the Company issued the 2024 WTI Warrants to the WTI Lenders (as further defined and described in Note 10. Warrants). The Company accounted for each of the 2024 WTI Warrants as detachable warrants at their fair value. The fair value of the 2024 WTI Warrants was recorded as a liability and as a discount to the WTI Facility on the condensed consolidated balance sheets. The 2024 WTI Warrants are classified as a liability in accordance with ASC 480, as they represent an instrument that is not an outstanding share and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require the issuer to settle the obligation by transferring assets, specifically cash. The Company is amortizing the discount over the term of the WTI Facility using the straight-line method.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March 21, 2025, in connection with the issuance of the first tranche of Convertible Debentures (as further described below) to Yorkville, the Company and Innventure LLC entered into a consent (the “Consent”) with WTI Fund X, LLC and WTI Fund XI, LLC (the “WTI Holders”) and the WTI Lenders, modifying the WTI Facility. Specifically, under the Consent, the Company and the WTI Lenders and WTI Holders agreed (i) that from and after the date that the Company receives the initial proceeds from the Convertible Debentures and until such time as such obligations have been paid in full, the Company must maintain at least $5,000 of cash on deposit; (ii) that effective on the date that the Company receives the initial proceeds from the Convertible Debentures, the 2025 WTI Warrants will become payable to the WTI Lenders and their affiliates; and (iii) to certain additional consent provisions. Such provisions from the Consent became effective on April 14, 2025 when the Company received proceeds from the Convertible Debentures. The modification of the WTI Facility was accounted for as an extinguishment of debt though the WTI Facility remains outstanding, resulting in a loss on extinguishment of $3,462 recorded on the condensed consolidated statements of operations and comprehensive income (loss) for the three and nine months ended September 30, 2025 (Successor). The legal requirement to maintain at least $5,000 of cash on deposit is presented as Restricted cash on the condensed consolidated balance sheets.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on this facility was as follows:</w:t>
      </w:r>
    </w:p>
    <w:tbl>
      <w:tblPr>
        <w:tblW w:w="10205" w:type="dxa"/>
        <w:jc w:val="left"/>
        <w:tblInd w:w="0" w:type="dxa"/>
        <w:tblLayout w:type="fixed"/>
        <w:tblCellMar>
          <w:top w:w="28" w:type="dxa"/>
          <w:left w:w="28" w:type="dxa"/>
          <w:bottom w:w="28" w:type="dxa"/>
          <w:right w:w="28" w:type="dxa"/>
        </w:tblCellMar>
      </w:tblPr>
      <w:tblGrid>
        <w:gridCol w:w="877"/>
        <w:gridCol w:w="711"/>
        <w:gridCol w:w="715"/>
        <w:gridCol w:w="324"/>
        <w:gridCol w:w="970"/>
        <w:gridCol w:w="168"/>
        <w:gridCol w:w="109"/>
        <w:gridCol w:w="109"/>
        <w:gridCol w:w="109"/>
        <w:gridCol w:w="109"/>
        <w:gridCol w:w="109"/>
        <w:gridCol w:w="109"/>
        <w:gridCol w:w="477"/>
        <w:gridCol w:w="920"/>
        <w:gridCol w:w="248"/>
        <w:gridCol w:w="109"/>
        <w:gridCol w:w="109"/>
        <w:gridCol w:w="109"/>
        <w:gridCol w:w="324"/>
        <w:gridCol w:w="970"/>
        <w:gridCol w:w="168"/>
        <w:gridCol w:w="109"/>
        <w:gridCol w:w="109"/>
        <w:gridCol w:w="109"/>
        <w:gridCol w:w="109"/>
        <w:gridCol w:w="109"/>
        <w:gridCol w:w="109"/>
        <w:gridCol w:w="461"/>
        <w:gridCol w:w="890"/>
        <w:gridCol w:w="347"/>
      </w:tblGrid>
      <w:tr>
        <w:trPr/>
        <w:tc>
          <w:tcPr>
            <w:tcW w:w="87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2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4"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2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 (Predecessor)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 (Predecessor)</w:t>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attributable to contractual interest</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attributable to amortization of issuance costs and discounts</w:t>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interest expense</w:t>
            </w:r>
          </w:p>
        </w:tc>
        <w:tc>
          <w:tcPr>
            <w:tcW w:w="3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1,291</w:t>
            </w:r>
            <w:r>
              <w:rPr>
                <w:color w:val="000000"/>
              </w:rPr>
              <w:t> </w:t>
            </w:r>
          </w:p>
        </w:tc>
        <w:tc>
          <w:tcPr>
            <w:tcW w:w="1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3,505</w:t>
            </w:r>
            <w:r>
              <w:rPr>
                <w:color w:val="000000"/>
              </w:rPr>
              <w:t> </w:t>
            </w:r>
          </w:p>
        </w:tc>
        <w:tc>
          <w:tcPr>
            <w:tcW w:w="1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Convertible Debentures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March 25, 2025, the Company entered into a securities purchase agreement (“Existing Purchase Agreement”) with Yorkville related to the issuance and sale of convertible debentures (“Existing Convertible Debentures” collectively with the New Convertible Debentures defined below, the “Convertible Debentures”) with an aggregate principal amount of up to $30,000. The Existing Convertible Debentures are convertible into shares of Common Stock and contain certain features that represent embedded derivatives, which are bifurcated and included within Prepaid expenses and other current assets on the condensed consolidated balance sheets. The Company issued the aggregate principal amount of the Existing Convertible Debentures in two tranches tied to separate reporting and filing requirements.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April 14, 2025, the Company issued the first tranche of the Existing Convertible Debentures with a principal amount of $20,000, resulting in cash proceeds to the Company of $18,000, representing an original issue discount of 10%. The first tranche was scheduled to be repaid in twelve monthly payments with a 5% payment premium due to the lender with each payment. Also on April 14, 2025, the Company issued two warrants (the “2025 WTI Warrants”) to purchase, at a price of $0.01 per share (subject to certain limitations and adjustment), up to an aggregate total of 495,074 shares of Common Stock, as of the date of issuance and September 30, 2025 (subject to future adjustments to the number and type of shares pursuant to the 2025 WTI Warrants), to the WTI Holders. Each of the 2025 WTI Warrants is exercisable through March 31, 2035. For further information on the 2025 WTI Warrants, refer to Note 10. Warrants.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May 15, 2025, the Company issued the second tranche of the Existing Convertible Debentures with a principal amount of $10,000, resulting in cash proceeds to the Company of $9,000, representing an original issue discount of 10%. The second tranche was scheduled to be repaid in eleven monthly payments with a 5% payment premium due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the lender with each payment. There is no contractual interest associated with amounts outstanding for the Existing Convertible Debentures for the three and nine months ended September 30, 2025 (Successor).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September 15, 2025, the Company entered into an additional amendment to the Existing Purchase Agreement for the Existing Convertible Debentures (the “September 2025 Amendment”). Pursuant to the September 2025 Amendment, the Company and Yorkville agreed to amend the definition of conversion price so that the fixed price of $10.00 was reduced to $7.00 and a floor price of $1.59 was implemented. Additionally, the monthly payments applicable to the Existing Convertible Debentures were removed and replaced with repayment due upon maturity in connection with the early repayment of the approximately $2,000. The payment premium on this payment was waived. However, payments and related payment premiums resume should the Innventure stock price fall below the floor price, the Company issues in excess of 99% of Common Shares under the exchange cap or Yorkville is unable to utilize a registration statement to resell Common Shares.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September 15, 2025, the Company entered into a securities purchase agreement (the “Securities Purchase Agreement”) with Yorkville for up to $15,000 in convertible debentures (“New Convertible Debentures”), issuable in two tranches. The first tranche of $10,000 was issued with a 10% original issue discount, yielding $9,000 in net proceeds, and bears 5% annual interest, with repayment due September 15, 2026. The debentures are convertible into Common Stock and contain certain features that represent embedded derivatives which are bifurcated and included within Prepaid expenses and other current assets on the condensed consolidated balance sheets. As of September 30, 2025, the second tranche of $5,000 had not been issued due to unmet requirements.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September 2025 Amendment and first tranche of the New Convertible Debentures were accounted for collectively as a troubled debt restructuring. The Company determined that a concession was provided based on a decrease in the effective interest rate when compared to the original terms of the Existing Convertible Debentures. No gain or loss was recognized under the troubled debt restructuring accounting.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nine months ended September 30, 2025 (Successor), the Company issued 523,748 and 997,573 shares, respectively, of its Common Stock pursuant to the SEPA in payment of $2,602 and $4,937 of principal, respectively, and $130 and $247 of payment premium, respectively, for the Convertible Debentures. Also, the Company issued 140,168 shares of Common Stock due to the exercise of conversion option by Yorkville for a principal amount of $776 of the Convertible Debentures. For further information on this conversion, see Note 11. Stockholders' Equity. During the three months ended September 30, 2025 (Successor) and nine months ended September 30, 2025 (Successor), the Company made cash payments toward the Convertible Debentures totaling $552 and $1,386 of principal and $28 and $69 of payment premium, respectively.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Interest expense on the Convertible Debentures was as follows:</w:t>
      </w:r>
    </w:p>
    <w:tbl>
      <w:tblPr>
        <w:tblW w:w="10205" w:type="dxa"/>
        <w:jc w:val="left"/>
        <w:tblInd w:w="0" w:type="dxa"/>
        <w:tblLayout w:type="fixed"/>
        <w:tblCellMar>
          <w:top w:w="28" w:type="dxa"/>
          <w:left w:w="28" w:type="dxa"/>
          <w:bottom w:w="28" w:type="dxa"/>
          <w:right w:w="28" w:type="dxa"/>
        </w:tblCellMar>
      </w:tblPr>
      <w:tblGrid>
        <w:gridCol w:w="799"/>
        <w:gridCol w:w="646"/>
        <w:gridCol w:w="649"/>
        <w:gridCol w:w="335"/>
        <w:gridCol w:w="1004"/>
        <w:gridCol w:w="174"/>
        <w:gridCol w:w="109"/>
        <w:gridCol w:w="109"/>
        <w:gridCol w:w="109"/>
        <w:gridCol w:w="109"/>
        <w:gridCol w:w="109"/>
        <w:gridCol w:w="109"/>
        <w:gridCol w:w="492"/>
        <w:gridCol w:w="950"/>
        <w:gridCol w:w="256"/>
        <w:gridCol w:w="109"/>
        <w:gridCol w:w="109"/>
        <w:gridCol w:w="109"/>
        <w:gridCol w:w="335"/>
        <w:gridCol w:w="1004"/>
        <w:gridCol w:w="174"/>
        <w:gridCol w:w="109"/>
        <w:gridCol w:w="109"/>
        <w:gridCol w:w="109"/>
        <w:gridCol w:w="109"/>
        <w:gridCol w:w="109"/>
        <w:gridCol w:w="109"/>
        <w:gridCol w:w="476"/>
        <w:gridCol w:w="918"/>
        <w:gridCol w:w="358"/>
      </w:tblGrid>
      <w:tr>
        <w:trPr/>
        <w:tc>
          <w:tcPr>
            <w:tcW w:w="79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9"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2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 (Predecessor)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 (Predecessor)</w:t>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attributable to contractual interest</w:t>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attributable to amortization of issuance costs</w:t>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interest expense</w:t>
            </w:r>
          </w:p>
        </w:tc>
        <w:tc>
          <w:tcPr>
            <w:tcW w:w="3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2,004</w:t>
            </w:r>
            <w:r>
              <w:rPr>
                <w:color w:val="000000"/>
              </w:rPr>
              <w:t> </w:t>
            </w:r>
          </w:p>
        </w:tc>
        <w:tc>
          <w:tcPr>
            <w:tcW w:w="1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3,705</w:t>
            </w:r>
            <w:r>
              <w:rPr>
                <w:color w:val="000000"/>
              </w:rPr>
              <w:t> </w:t>
            </w:r>
          </w:p>
        </w:tc>
        <w:tc>
          <w:tcPr>
            <w:tcW w:w="1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Term Convertible Notes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At various dates in June and July of 2025, Accelsius entered into unsecured convertible notes with various other parties (the “Term Convertible Notes”) for a total principal amount of $7,750. The Term Convertible Notes have a stated maturity date of December 31, 2026 and bear interest at the annual applicable federal rate published by the Internal Revenue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Term Convertible Notes, which are subordinated to the WTI Facility, are convertible at the option of the lenders, starting January 2, 2026, for all amounts due under the notes at the time of conversion, into Accelsius’ Series A Units at a price per unit equal to $12.175. For as long as any portion of the WTI Facility remains outstanding, the lenders will not demand payment related to this Term Convertible Notes, unless they convert the debt into equity.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interest expense on the Term Convertible Notes was $85 and $88 for the three and nine months ended September 30, 2025 (Successor), respectively.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Related Party Convertible Notes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June 26, 2025, Accelsius entered into an unsecured Convertible Promissory Note (“CPN”) with a related party lender. The maximum principal amount under the CPN is $3,000, issuable in three equal draws, upon the request of Accelsius and subject to the related party’s sole discretion. On June 27, 2025, Accelsius received the first $1,000 draw and on July 24, 2025 received the second $1,000 draw, with a total outstanding principal of $2,000 as of September 30, 2025. The CPN has a stated interest rate of 15% and Accelsius is required to pay a loan fee (“Loan Fee”) of $35 upon maturity, repayment or conversion of this note.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CPN is convertible at the option of the related party lender for all amounts due under the Convertible Note, including the Loan Fee, into either preferred units of Accelsius at a price equal to 80% of the next funding round price if Accelsius raises at least $5,000 from unaffiliated investors, or into common units of Accelsius, if no such funding round occurs before the maturity date, with unit pricing of common units determined by an independent valuation firm.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CPN has a maturity date of December 31, 2025; is subordinated to the WTI Facility and the Convertible Debentures; and each of the WTI Lenders and Yorkville have been granted certain rights under the CPN. The CPN related party lender will not demand payment of this note, for so long as any portion of the WTI Facility or Convertible Debentures remains outstanding. Furthermore, pursuant to a Side Letter, dated June 26, 2025, by and among the Company, Innventure LLC, Accelsius and the related party, until such time as the CPN is either repaid in full or converted into equity of Accelsius, the Company will not seek repayment of any portion of that certain Loan and Security Agreement between Innventure LLC and Accelsius, dated as of March 30, 2023 (subject to certain exceptions).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June of 2025, Accelsius also entered into unsecured convertible notes (“Related Party Term Convertible Notes”, together with the CPN, the “Related Party Convertible Notes”) with certain investors deemed to be Related Parties (as defined in the Company’s Related Party Transactions Policy) for a total principal amount of $4,250. The Related Party Term Convertible Notes have a stated maturity date of December 31, 2026 and bear interest at the annual applicable federal rate published by the Internal Revenue Service.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Related Party Term Convertible Notes, which are subordinated to the WTI Facility, are convertible at the option of the lenders, starting January 2, 2026, for all amounts due under the notes at the time of conversion, into Accelsius’ Series A Units at a price per unit equal to $12.175. For as long as any portion of the WTI Facility remains outstanding, the Related Party Term Convertible Notes lenders will not demand payment related to the Related Party Term Convertible Notes, unless they convert the debt into equity.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interest expense on Related Party Convertible Notes, including the amortization of the loan fee, was $97 and $99 for the three and nine months ended September 30, 2025 (Successor), respectively.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August 2025 Notes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Between August 12, 2025 and September 19, 2025, Accelsius issued unsecured convertible promissory notes (the “August 2025 Notes”) totaling $9,150 in principal, with $7,300 in proceeds received by September 30, 2025. The notes bear interest at 6.5% annually, are repayable upon demand after two years and are subordinate to existing senior debt. Upon the Company’s next preferred equity round raising at least $5,000 from unaffiliated investors,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notes will automatically convert into preferred units at 80% of the unit price, with accompanying warrants exercisable for 0.5 units at 120% of the unit price. During the three and nine months ended September 30, 2025 (Successor), the Company recognized $1,677 related to the change in fair value of the embedded derivative liability tied to the contingent conversion feature.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August 2025 Notes are subordinate to the WTI Facility, Convertible Debentures, Term Convertible Notes and indebtedness of Accelsius owed to Innventure LLC and for as long as any portion of these senior debts remains outstanding, the lenders will not demand payment related to this August 2025 Notes, unless they convert the debt into equity.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interest expense on the August 2025 Notes was $37 for the three and nine months ended September 30, 2025 (Successor).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6. Inventories, net</w:t>
      </w:r>
    </w:p>
    <w:tbl>
      <w:tblPr>
        <w:tblW w:w="5441" w:type="dxa"/>
        <w:jc w:val="left"/>
        <w:tblInd w:w="0" w:type="dxa"/>
        <w:tblLayout w:type="fixed"/>
        <w:tblCellMar>
          <w:top w:w="28" w:type="dxa"/>
          <w:left w:w="28" w:type="dxa"/>
          <w:bottom w:w="28" w:type="dxa"/>
          <w:right w:w="28" w:type="dxa"/>
        </w:tblCellMar>
      </w:tblPr>
      <w:tblGrid>
        <w:gridCol w:w="570"/>
        <w:gridCol w:w="501"/>
        <w:gridCol w:w="504"/>
        <w:gridCol w:w="392"/>
        <w:gridCol w:w="1174"/>
        <w:gridCol w:w="204"/>
        <w:gridCol w:w="109"/>
        <w:gridCol w:w="109"/>
        <w:gridCol w:w="109"/>
        <w:gridCol w:w="374"/>
        <w:gridCol w:w="1121"/>
        <w:gridCol w:w="274"/>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inventories</w:t>
            </w:r>
          </w:p>
        </w:tc>
        <w:tc>
          <w:tcPr>
            <w:tcW w:w="3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6,404</w:t>
            </w:r>
            <w:r>
              <w:rPr>
                <w:color w:val="000000"/>
              </w:rPr>
              <w:t> </w:t>
            </w:r>
          </w:p>
        </w:tc>
        <w:tc>
          <w:tcPr>
            <w:tcW w:w="2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5,178</w:t>
            </w:r>
            <w:r>
              <w:rPr>
                <w:color w:val="000000"/>
              </w:rPr>
              <w:t> </w:t>
            </w:r>
          </w:p>
        </w:tc>
        <w:tc>
          <w:tcPr>
            <w:tcW w:w="2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7. Property, Plant and Equipment</w:t>
      </w:r>
    </w:p>
    <w:tbl>
      <w:tblPr>
        <w:tblW w:w="7151" w:type="dxa"/>
        <w:jc w:val="left"/>
        <w:tblInd w:w="0" w:type="dxa"/>
        <w:tblLayout w:type="fixed"/>
        <w:tblCellMar>
          <w:top w:w="28" w:type="dxa"/>
          <w:left w:w="28" w:type="dxa"/>
          <w:bottom w:w="28" w:type="dxa"/>
          <w:right w:w="28" w:type="dxa"/>
        </w:tblCellMar>
      </w:tblPr>
      <w:tblGrid>
        <w:gridCol w:w="1190"/>
        <w:gridCol w:w="1045"/>
        <w:gridCol w:w="1050"/>
        <w:gridCol w:w="392"/>
        <w:gridCol w:w="1174"/>
        <w:gridCol w:w="204"/>
        <w:gridCol w:w="109"/>
        <w:gridCol w:w="109"/>
        <w:gridCol w:w="109"/>
        <w:gridCol w:w="374"/>
        <w:gridCol w:w="1121"/>
        <w:gridCol w:w="274"/>
      </w:tblGrid>
      <w:tr>
        <w:trPr/>
        <w:tc>
          <w:tcPr>
            <w:tcW w:w="119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&amp; equipment</w:t>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Computers &amp; office equipment</w:t>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Property, plant and equipment, gross </w:t>
            </w:r>
          </w:p>
        </w:tc>
        <w:tc>
          <w:tcPr>
            <w:tcW w:w="1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2,863</w:t>
            </w:r>
            <w:r>
              <w:rPr>
                <w:color w:val="000000"/>
              </w:rPr>
              <w:t>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1,492</w:t>
            </w:r>
            <w:r>
              <w:rPr>
                <w:color w:val="000000"/>
              </w:rPr>
              <w:t>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Property, plant and equipment, net </w:t>
            </w:r>
          </w:p>
        </w:tc>
        <w:tc>
          <w:tcPr>
            <w:tcW w:w="3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2,176</w:t>
            </w:r>
            <w:r>
              <w:rPr>
                <w:color w:val="000000"/>
              </w:rPr>
              <w:t> </w:t>
            </w:r>
          </w:p>
        </w:tc>
        <w:tc>
          <w:tcPr>
            <w:tcW w:w="2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1,414</w:t>
            </w:r>
            <w:r>
              <w:rPr>
                <w:color w:val="000000"/>
              </w:rPr>
              <w:t> </w:t>
            </w:r>
          </w:p>
        </w:tc>
        <w:tc>
          <w:tcPr>
            <w:tcW w:w="2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8. Goodwill and Intangible Assets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Goodwill</w:t>
      </w:r>
    </w:p>
    <w:tbl>
      <w:tblPr>
        <w:tblW w:w="4160" w:type="dxa"/>
        <w:jc w:val="left"/>
        <w:tblInd w:w="0" w:type="dxa"/>
        <w:tblLayout w:type="fixed"/>
        <w:tblCellMar>
          <w:top w:w="28" w:type="dxa"/>
          <w:left w:w="28" w:type="dxa"/>
          <w:bottom w:w="28" w:type="dxa"/>
          <w:right w:w="28" w:type="dxa"/>
        </w:tblCellMar>
      </w:tblPr>
      <w:tblGrid>
        <w:gridCol w:w="1068"/>
        <w:gridCol w:w="941"/>
        <w:gridCol w:w="945"/>
        <w:gridCol w:w="211"/>
        <w:gridCol w:w="841"/>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667,936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September 30, 2025</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323,463</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annual impairment testing of goodwill, which is performed in the fourth quarter of each fiscal year, the Company continuously monitors for events and circumstances that could negatively impact the key assumptions used in determining fair value and therefore would require interim impairment testing, including long-term revenue growth projections, profitability, discount rates, volatility in the Company's market capitalization and general industry, market and macroeconomic conditions. During the nine months ended September 30, 2025 (Successor), the Company recorded $346,557 in non-deductible, non-cash goodwill impairment charges, within the condensed consolidated statements of operations and comprehensive income (loss) due to sustained decreases in the Company’s publicly quoted share price and market capitalization, which were, at least in part, sensitive to the general downward volatility experienced in the stock market in late February 2025 through April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June 30, 2025 and March 31, 2025 goodwill impairment testing was performed using the income approach via a discounted cash flow model. The income approach estimates fair value by converting future cash flows to a current amount on the measurement date after taking into consideration marketplace conditions. Assumptions including discount rate and estimated future cash flows had a significant impact to the estimated fair value of the reporting unit. These fair values are Level 3 assets in the fair value hierarchy. </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there are further adverse changes in the Company’s projected cash flows or further changes in key assumptions, including but not limited to an increase in the discount rate and further decline in the Company’s stock price, the Company may be required to record additional non-cash impairment charges to goodwill. Such non-cash charges could have a material adverse effect on the Company’s condensed consolidated statements of operations and comprehensive income (loss) and condensed consolidated balance sheets in the reporting period of the charge. </w:t>
      </w:r>
    </w:p>
    <w:p>
      <w:pPr>
        <w:pStyle w:val="TextBody"/>
        <w:bidi w:val="0"/>
        <w:spacing w:before="0" w:after="18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intangible assets, net</w:t>
      </w:r>
    </w:p>
    <w:tbl>
      <w:tblPr>
        <w:tblW w:w="10205" w:type="dxa"/>
        <w:jc w:val="left"/>
        <w:tblInd w:w="0" w:type="dxa"/>
        <w:tblLayout w:type="fixed"/>
        <w:tblCellMar>
          <w:top w:w="28" w:type="dxa"/>
          <w:left w:w="28" w:type="dxa"/>
          <w:bottom w:w="28" w:type="dxa"/>
          <w:right w:w="28" w:type="dxa"/>
        </w:tblCellMar>
      </w:tblPr>
      <w:tblGrid>
        <w:gridCol w:w="544"/>
        <w:gridCol w:w="336"/>
        <w:gridCol w:w="331"/>
        <w:gridCol w:w="534"/>
        <w:gridCol w:w="534"/>
        <w:gridCol w:w="535"/>
        <w:gridCol w:w="214"/>
        <w:gridCol w:w="855"/>
        <w:gridCol w:w="110"/>
        <w:gridCol w:w="228"/>
        <w:gridCol w:w="801"/>
        <w:gridCol w:w="120"/>
        <w:gridCol w:w="213"/>
        <w:gridCol w:w="852"/>
        <w:gridCol w:w="110"/>
        <w:gridCol w:w="109"/>
        <w:gridCol w:w="109"/>
        <w:gridCol w:w="109"/>
        <w:gridCol w:w="214"/>
        <w:gridCol w:w="855"/>
        <w:gridCol w:w="110"/>
        <w:gridCol w:w="254"/>
        <w:gridCol w:w="763"/>
        <w:gridCol w:w="132"/>
        <w:gridCol w:w="213"/>
        <w:gridCol w:w="851"/>
        <w:gridCol w:w="169"/>
      </w:tblGrid>
      <w:tr>
        <w:trPr/>
        <w:tc>
          <w:tcPr>
            <w:tcW w:w="54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Intangible Asset</w:t>
            </w:r>
          </w:p>
        </w:tc>
        <w:tc>
          <w:tcPr>
            <w:tcW w:w="16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Amortization Period Remaining (Years)</w:t>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r>
      <w:tr>
        <w:trPr/>
        <w:tc>
          <w:tcPr>
            <w:tcW w:w="1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6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17,800 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17,800 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Developed technology </w:t>
            </w:r>
          </w:p>
        </w:tc>
        <w:tc>
          <w:tcPr>
            <w:tcW w:w="1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165,100 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(18,938)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165,100 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160,382 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finite-lived intangible assets</w:t>
            </w:r>
          </w:p>
        </w:tc>
        <w:tc>
          <w:tcPr>
            <w:tcW w:w="1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intangible assets</w:t>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187,530</w:t>
            </w:r>
            <w:r>
              <w:rPr>
                <w:color w:val="000000"/>
              </w:rPr>
              <w:t> </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(21,589)</w:t>
            </w:r>
          </w:p>
        </w:tc>
        <w:tc>
          <w:tcPr>
            <w:tcW w:w="1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165,941</w:t>
            </w:r>
            <w:r>
              <w:rPr>
                <w:color w:val="000000"/>
              </w:rPr>
              <w:t> </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187,530</w:t>
            </w:r>
            <w:r>
              <w:rPr>
                <w:color w:val="000000"/>
              </w:rPr>
              <w:t> </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(5,377)</w:t>
            </w:r>
          </w:p>
        </w:tc>
        <w:tc>
          <w:tcPr>
            <w:tcW w:w="1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182,153</w:t>
            </w:r>
            <w:r>
              <w:rPr>
                <w:color w:val="000000"/>
              </w:rPr>
              <w:t> </w:t>
            </w:r>
          </w:p>
        </w:tc>
        <w:tc>
          <w:tcPr>
            <w:tcW w:w="1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of $5,404 and $16,212 was recognized for the three and nine months ended September 30, 2025 (Successor), respectively, and is recorded within Cost of sales, General and administrative and Research and development on the condensed consolidated statements of operations and comprehensive income (loss).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Estimated future amortization expense is as follows: </w:t>
      </w:r>
    </w:p>
    <w:tbl>
      <w:tblPr>
        <w:tblW w:w="6823" w:type="dxa"/>
        <w:jc w:val="left"/>
        <w:tblInd w:w="0" w:type="dxa"/>
        <w:tblLayout w:type="fixed"/>
        <w:tblCellMar>
          <w:top w:w="28" w:type="dxa"/>
          <w:left w:w="28" w:type="dxa"/>
          <w:bottom w:w="28" w:type="dxa"/>
          <w:right w:w="28" w:type="dxa"/>
        </w:tblCellMar>
      </w:tblPr>
      <w:tblGrid>
        <w:gridCol w:w="1731"/>
        <w:gridCol w:w="1522"/>
        <w:gridCol w:w="1531"/>
        <w:gridCol w:w="355"/>
        <w:gridCol w:w="1422"/>
        <w:gridCol w:w="262"/>
      </w:tblGrid>
      <w:tr>
        <w:trPr/>
        <w:tc>
          <w:tcPr>
            <w:tcW w:w="1731"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Amortization Expense</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(excluding the first nine months of fiscal year 2025)</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and thereafter</w:t>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78,761 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165,941</w:t>
            </w:r>
            <w:r>
              <w:rPr>
                <w:color w:val="000000"/>
              </w:rPr>
              <w:t> </w:t>
            </w:r>
          </w:p>
        </w:tc>
        <w:tc>
          <w:tcPr>
            <w:tcW w:w="2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9. Earnout Shares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further discussed in our 2024 Annual Report, upon Closing of the Business Combination, 5,000,000 “Company Earnout Shares” were contingently issuable and 344,828 “Sponsor Earnout Shares” were issued subject to clawback provisions. The Company Earnout Shares and the Sponsor Earnout Shares are collectively referred to as the “Earnout Shares” and are subject to certain vesting provisions.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7, 2025, a total of 344,828 Sponsor Earnout Shares fully vested and were no longer subject to contingencies as the Company’s public stock price had surpassed $11.50 for twenty consecutive days, thereby fulfilling the vesting provision for the Sponsor Earnout Shares. These vesting conditions were not effective on the Company Earnout Shares until 6 months following the Business Combination.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January 8, 2025, the Company’s Board of Directors formally recognized the creation of the Refinity subsidiary, thereby meeting the milestone two conditions for the Company Earnout Shares. As such, 2,000,000 shares of Common Stock were issued on February 4, 2025 as a result of the satisfaction of the milestone.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Earnout Shares related to milestone three are liability classified and were fair valued at $5,460 and $14,752 as of September 30, 2025 and December 31, 2024, respectively. The Company recognized a loss of $1,090 and gain of $8,419 in Change in fair value of financial liabilities on the condensed consolidated statements of operations and comprehensive income (loss) for the three and nine months ended September 30, 2025 (Successor),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10. Warrants</w:t>
      </w:r>
    </w:p>
    <w:tbl>
      <w:tblPr>
        <w:tblW w:w="10205" w:type="dxa"/>
        <w:jc w:val="left"/>
        <w:tblInd w:w="0" w:type="dxa"/>
        <w:tblLayout w:type="fixed"/>
        <w:tblCellMar>
          <w:top w:w="28" w:type="dxa"/>
          <w:left w:w="28" w:type="dxa"/>
          <w:bottom w:w="28" w:type="dxa"/>
          <w:right w:w="28" w:type="dxa"/>
        </w:tblCellMar>
      </w:tblPr>
      <w:tblGrid>
        <w:gridCol w:w="927"/>
        <w:gridCol w:w="813"/>
        <w:gridCol w:w="818"/>
        <w:gridCol w:w="802"/>
        <w:gridCol w:w="566"/>
        <w:gridCol w:w="568"/>
        <w:gridCol w:w="765"/>
        <w:gridCol w:w="581"/>
        <w:gridCol w:w="583"/>
        <w:gridCol w:w="621"/>
        <w:gridCol w:w="621"/>
        <w:gridCol w:w="623"/>
        <w:gridCol w:w="558"/>
        <w:gridCol w:w="558"/>
        <w:gridCol w:w="801"/>
      </w:tblGrid>
      <w:tr>
        <w:trPr/>
        <w:tc>
          <w:tcPr>
            <w:tcW w:w="92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2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Public Warrants</w:t>
            </w:r>
          </w:p>
        </w:tc>
        <w:tc>
          <w:tcPr>
            <w:tcW w:w="1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Private Warrants</w:t>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2024 WTI Warrants</w:t>
            </w:r>
          </w:p>
        </w:tc>
        <w:tc>
          <w:tcPr>
            <w:tcW w:w="1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2025 WTI Warrants</w:t>
            </w:r>
          </w:p>
        </w:tc>
      </w:tr>
      <w:tr>
        <w:trPr/>
        <w:tc>
          <w:tcPr>
            <w:tcW w:w="2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December 31, 2024 (Successor)</w:t>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11,240,688</w:t>
            </w:r>
            <w:r>
              <w:rPr>
                <w:color w:val="000000"/>
              </w:rPr>
              <w:t>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7,146,000</w:t>
            </w:r>
            <w:r>
              <w:rPr>
                <w:color w:val="000000"/>
              </w:rPr>
              <w:t> </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Exercised </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Issued</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September 30, 2025 (Successor)</w:t>
            </w:r>
          </w:p>
        </w:tc>
        <w:tc>
          <w:tcPr>
            <w:tcW w:w="136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11,240,688</w:t>
            </w:r>
            <w:r>
              <w:rPr>
                <w:color w:val="000000"/>
              </w:rPr>
              <w:t> </w:t>
            </w:r>
          </w:p>
        </w:tc>
        <w:tc>
          <w:tcPr>
            <w:tcW w:w="5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7,146,000</w:t>
            </w:r>
            <w:r>
              <w:rPr>
                <w:color w:val="000000"/>
              </w:rPr>
              <w:t> </w:t>
            </w:r>
          </w:p>
        </w:tc>
        <w:tc>
          <w:tcPr>
            <w:tcW w:w="5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6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8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There were no warrants outstanding during the three and nine months ended September 30, 2024 (Predecessor).</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Public Warrants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equity-classified public warrants expire on October 2, 2029 or earlier upon redemption or liquidation and are exercisable for $11.50 per share.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Private Placement Warrants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liability-classified private placement warrants are measured at fair value based on the price of the public warrants (Level 2 fair value measurement). The private placement warrants will expire on October 2, 2029 or earlier upon redemption or liquidation and are exercisable for $11.50 per share. As of September 30, 2025 (Successor) and December 31, 2024 (Predecessor), the fair value of the private placement warrants is $6,392 and $16,793, respectively, and is presented as a current liability in the condensed consolidated balance sheets. For the three and nine months ended September 30, 2025 (Successor), the Company recognized a gain of $754 and $10,401, respectively, in Change in fair value of financial liabilities on the condensed consolidated statements of operations and comprehensive income (loss).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WTI Warrants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October 22, 2024, in connection with the WTI Facility, the Company issued warrants (the "2024 WTI Warrants") to the WTI Lenders. The 2024 WTI Warrants are considered freestanding financial instruments and are recorded at fair value on the condensed consolidated balance sheets as a warrant liability in the amount of $12,720 and $17,230 as of September 30, 2025 (Successor) and December 31, 2024 (Predecessor), respectively. For the three and nine months ended September 30, 2025 (Successor), the Company recognized a loss of $270 and gain of $4,510, respectively, in change in fair value of financial liabilities on the condensed consolidated statements of operations and comprehensive income (loss). The 2024 WTI Warrants expire on March 31, 2035. See Note 4. Fair Value for details on the valuation.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April 14, 2025, the Company issued the 2025 WTI Warrants to purchase, at a price of $0.01 per share (subject to certain limitations and adjustment), up to an aggregate total of 495,074 shares of Common Stock, as of the date of issuance and June 30, 2025 (subject to future adjustments to the number and type of shares pursuant to the 2025 WTI Warrants), to the WTI Holders. Each of the 2025 WTI Warrants is exercisable through March 31, 2035, with additional customary rights and protections. The 2025 WTI Warrants were issued to the WTI Holders in conjunction with the first issuance of the Convertible Debentures. The 2025 WTI Warrants serve as consideration for certain provisions under the Consent. The Company recognized the related warrant liability at fair value at an amount of $3,090 at the time of issuance. The 2025 WTI Warrants are recorded at fair value on the condensed consolidated balance sheets in the amount of $3,630 as of September 30, 2025 (Successor). For the three and nine months ended September 30, 2025 (Successor), the Company recognized a loss of $230 and $540, respectively, in the change in fair value of financial liabilities on the condensed consolidated statements of operations and comprehensive income (loss). The 2025 WTI Warrants expire on March 31, 2035. See Note 4. Fair Value for details on the valuation.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11. Stockholders' Equity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periods prior to the Business Combination on October 2, 2024, the Predecessor had Class B Preferred Units, Class B-1 Preferred Units, Class A Units and Class C Units issued and outstanding. In connection with the Business Combination, the Successor acquired all membership interests that were in existence for the Predecessor.</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is authorized to issue 25,000,000 shares of preferred stock with a par value of $0.0001 per share.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Series B Preferred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September 30, 2025, 3,000,000 shares of the authorized preferred stock are designated as Series B preferred stock, $0.0001 par value per share (“Series B Preferred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Series B Preferred Stock is entitled to an 8% annual rate dividend. On March 19, 2025, the Company distributed 21,808 shares of Series B Preferred Stock to represent $218 in cumulative dividends for Series B Preferred Stock, covering the period from the initial issue date, as defined in the certificate of designation of Series B Preferred Stock, to December 31, 2024, as a payment in kind at the specified rate. During the nine months ended September 30, 2025 (Successor), the holders of Series B Preferred Stock exercised their conversion right and converted 1,085,664 shares of Series B Preferred Stock for 2,164,673 shares of Common Stock. Upon conversion, all the converted Series B Preferred Stock shares were canceled and retired.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 result, the Company had a total of 33,144 shares of Series B Preferred Stock issued and outstanding as of September 30, 2025. As of September 30, 2025, the Company accrued $20 for the 8% dividend in the Obligation to issue equity on the condensed consolidated balance sheets.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Series C Preferred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September 30, 2025, 5,000,000 shares of the authorized preferred stock are designated as series C preferred stock, $0.0001 par value per share (the “Series C Preferred Stock”). On March 24, 2025, Innventure issued 2,885,848 shares of Series C Preferred Stock at the original issue price for a total amount of $28,858. The consideration received by the Company was in the form of cash, services rendered and the cancellation of related party debt. During the nine months ended September 30, 2025 (Successor), the holders of Series C Preferred Stock exercised their conversion right and converted 2,735,848 shares of Series C Preferred Stock for 5,471,696 shares of Common Stock. Upon conversion, all the converted Series C Preferred Stock shares were canceled and retired.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Series C Preferred Stock is subject to similar terms and conditions as the Series B Preferred Stock. The Company had a total of 150,000 shares of Series C Preferred Stock issued and outstanding as of September 30, 2025. As of September 30, 2025, the Company accrued $60 for the 8% dividend in the Obligation to issue equity on the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authorized to issue 250,000,000 shares of Common Stock with a par value of $0.0001 per share. Holders of the Company’s Common Stock are entitled to one vote for each share. As of September 30, 2025 there were 56,220,158 shares of Common Stock issued and outstanding.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Standby Equity Purchase Agreement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October 2023, we entered into the SEPA with Yorkville. This agreement became effective concurrently with the Business Combination.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SEPA, the Company shall have the right, but not the obligation, to sell to Yorkville up to $75,000 of Common Stock, par value $0.0001 per share, at the Company’s request any time during the commitment period commencing on the Closing and continuing for a term of 3 years.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SEPA will automatically terminate on the earlier to occur of (i) November 01, 2027 and (ii) the date on which Yorkville shall have made payment of advances pursuant to the SEPA for Common Stock equal to the commitment amount of $75,000.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SEPA, the Company issued 523,748 and 997,573 shares of Common Stock to the investors as repayments under the Convertible Debentures referenced in Note 5. Borrowings during the three and nine months ended September 30, 2025 (Successor), respectively.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(Successor), in addition to the Common Stock issuances pursuant to the SEPA made in repayment towards the Convertible Debentures noted above, the Company sold — and 73,993 shares of Common Stock under the SEPA, raising $— and $931 in cash proceeds, respectively, which is classified within Issuance of common shares, net of issuance costs in the condensed consolidated statements of changes in mezzanine and stockholders' equity (deficit). As of September 30, 2025, the maximum remaining availability under the SEPA is approximately $67,000.</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ability to access the SEPA is subject to certain conditions and limitations in the SEPA and the Purchase Agreements, which impose further limitations and conditions upon the Company’s ability to access the SEPA.</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Convertible Debentures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Convertible Debentures (further defined in Note 5. Borrowings), the Company issued 140,168 shares of Common Stock to Yorkville as repayments under the Convertible Debentures during the three and nine months ended September 30, 2025 (Successor).</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Service Provider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2023, the Company entered into an agreement to receive financial advisory services in exchange for equity. Upon Closing of the Business Combination, the Company became liable for $441 of Common Stock divided by the conversion price of $10.87, resulting in 40,552 shares. In connection with the closing of the WTI Facility mentioned in Note 5. Borrowings, the Company became liable for $500 worth of Common Stock calculated as the VWAP of the Common Stock over the five consecutive trading days ending on the trading day immediately preceding November 15, 2024, $11.13, for a total of 44,919 shares. On February 3, 2025, the Company has issued the aggregate 85,471 shares of Common Stock for services rendered.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October 2023, the Company entered into an agreement to receive financial advisory services in exchange for equity. Upon Closing of the Business Combination, the Company was obligated to pay a success fee in cash in an amount of $600 and equity success fee in $3,000 of Series C Preferred Stock at $10.00 per share. On March 24, 2025, the Company issued the 300,000 shares of Series C Preferred Stock for services rendered.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12. Stock-based Compensation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2024 Equity and Incentive Compensation Plan</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25, 2025, the Company issued 111,525 restricted stock units (“RSUs”) to five directors pursuant to the Innventure Non-Management Director Compensation Plan. The RSUs had a grant date fair value of $600 based on a fair value per unit of $5.38. The fair value of RSUs is determined based on the closing market price of the Company’s Common Stock at the date of the grant.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15, 2025, the Company issued 327,248 shares of Common Stock to settle 412,156 vested RSUs net of taxes that were originally issued as part of the 2024 Equity and Incentive Compensation Plan.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25, 2025, the Company issued 519,189 RSUs to five key employees. The RSUs had a grant date fair value of $2,303 based on a fair value per unit of $4.44. The fair value of RSUs is determined based on the closing market price of the Company’s Common Stock at the date of the grant.</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(Successor), the Company recognized compensation costs related to the RSUs of $3,534 and $14,429, respectively, in the condensed consolidated statements of operations and comprehensive income (loss). As of September 30, 2025, the Company had $11,168 in stock-based compensation expense remaining to be recognized over approximately 1.8 years.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26, 2025, the Company issued 90,000 stock options to two independent contractors. The stock options were granted with an exercise price of $8.84. Using the Black-Scholes option pricing model, the estimated grant date fair value of stock options was $4.97 per option based on an expected volatility of 56%, an expected option term of approximately 5.9 years, and risk-free rate of return of 4.06%. The stock options have a maximum contractual life of 10 years from the grant date.</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(Successor), the Company recognized compensation costs related to the stock options of $1,192 and $3,733, respectively, in the condensed consolidated statements of operations and comprehensive income (loss). As of September 30, 2025, the Company had $2,633 in compensation expense remaining to be recognized over approximately 1.7 years.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Stock Appreciation Rights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2024, the Company issued 30,000 cash-settled stock appreciation rights (“SARs”) which were recognized at their fair value as of the date of the grant. These SARs entitle participants to cash equal to the value of the appreciation in Accelsius’ stock price over the base price established of $12.175. These cash-settled SARs are liability classified and are revalued at each reporting period. The SARs were valued as of September 30, 2025 using the Black-Scholes option-pricing model based on an expected volatility of 70%, an expected term of approximately 1.3 years, and risk-free rate of return of 4%. The Company recognized a decrease in compensation expense in the amount of $237 and $931 in relation to the change in fair value of the cash-settled SARs for the three and nine months ended September 30, 2025 (Successor),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25, 2025, the SARs agreements were amended. Under these amendments, any payments by the Company to the participants shall be made in the form of shares of Common Stock and the maximum number of shares of Common Stock that may be issued pursuant to the SAR Agreements shall be 4,000,000.</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Subsidiary Equity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(Successor), there were 915,000 and 1,048,000 Class C units granted, respectively with a grant date fair value per share of $20.31 and $20.60, respectively. During the three and nine months ended September 30, 2024 (Predecessor), there were $— and 110,000 Class C units granted, respectively, with a grant date fair value per unit of $— and $4.41, respectively.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recognized compensation costs of $2,747 and $4,557 for the three and nine months ended September 30, 2025 (Successor) and $326 and $919 for the three and nine months ended September 30, 2024 (Predecessor), respectively, in the condensed consolidated statements of operations and comprehensive income (loss). As of September 30, 2025, the Company had $24,179 in unit-based compensation expense remaining to be recognized over approximately 2.2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13. Income Taxes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(Successor), the Company recognized income tax benefits of $3,603 and $7,222, respectively. During the three and nine months ended September 30, 2024 (Predecessor), no income tax provision or expense was recorded.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For interim tax reporting, the Company estimated one single effective tax rate for tax jurisdictions not subject to a valuation allowance, which is applied to the year-to-date pre-tax book loss. Tax effects of significant unusual or infrequently occurring items are excluded from the estimated annual effective tax rate calculation and recognized in the interim period in which they occur. The effective tax rate for the three months ended September 30, 2025 (Successor) was a benefit of 9.40%, driven primarily by an increase in the valuation allowance as a result of pre-tax book loss activity. For the nine months ended September 30, 2025 (Successor), the effective tax rate was a benefit of 1.65% driven primarily by the impact of the goodwill impairment, which is not deductible for tax purposes.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are currently assessing its impact on our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14. Net Loss Per Share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follows the two-class method when computing net loss per common share when shares are issued that meet the definition of participating securities. The two-class method requires income available to common shareholders for the period to be allocated between common shares and participating securities based upon their respective rights to receive dividends as if all income for the period had been distributed. The two-class method also requires losses for the period to be allocated between common shares and participating securities based on their respective rights if the participating security contractually participates in losses. As holders of Series B Preferred Stock, Series C Preferred Stock, 2024 WTI Warrants and 2025 WTI Warrants, which are determined to be participating securities, do not have a contractual obligation to fund losses, undistributed net losses are not allocated to them for purposes of the loss per share calculation.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Given the historical structure of the Predecessor, the Company determined that the calculation of earnings per membership unit results in values that are not a valuable metric to users of these consolidated financial statements. Therefore, earnings per share (“EPS”) information is omitted for the Predecessor periods. Presented in the table below is a reconciliation of the numerator and denominator for the EPS calculations for the three and nine months ended September 30, 2025 (Successor):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tbl>
      <w:tblPr>
        <w:tblW w:w="10205" w:type="dxa"/>
        <w:jc w:val="left"/>
        <w:tblInd w:w="0" w:type="dxa"/>
        <w:tblLayout w:type="fixed"/>
        <w:tblCellMar>
          <w:top w:w="28" w:type="dxa"/>
          <w:left w:w="28" w:type="dxa"/>
          <w:bottom w:w="28" w:type="dxa"/>
          <w:right w:w="28" w:type="dxa"/>
        </w:tblCellMar>
      </w:tblPr>
      <w:tblGrid>
        <w:gridCol w:w="1682"/>
        <w:gridCol w:w="1419"/>
        <w:gridCol w:w="1426"/>
        <w:gridCol w:w="551"/>
        <w:gridCol w:w="1879"/>
        <w:gridCol w:w="260"/>
        <w:gridCol w:w="109"/>
        <w:gridCol w:w="109"/>
        <w:gridCol w:w="109"/>
        <w:gridCol w:w="455"/>
        <w:gridCol w:w="1879"/>
        <w:gridCol w:w="327"/>
      </w:tblGrid>
      <w:tr>
        <w:trPr/>
        <w:tc>
          <w:tcPr>
            <w:tcW w:w="1682"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4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r>
      <w:tr>
        <w:trPr/>
        <w:tc>
          <w:tcPr>
            <w:tcW w:w="4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26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Innventure, Inc., shareholders</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(28,332)</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(255,556)</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Cumulative earnings to participating securities</w:t>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Undistributed loss for participating securities </w:t>
            </w:r>
          </w:p>
        </w:tc>
        <w:tc>
          <w:tcPr>
            <w:tcW w:w="24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(28,360)</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(255,636)</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Undistributed loss attributable to participating securities</w:t>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attributable to common shareholders, basic and diluted</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(28,360)</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(255,636)</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2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units outstanding, basic and diluted</w:t>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55,846,721 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51,583,853 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Net loss per share attributable to common shareholders, basic and diluted </w:t>
            </w:r>
          </w:p>
        </w:tc>
        <w:tc>
          <w:tcPr>
            <w:tcW w:w="5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(0.51)</w:t>
            </w:r>
          </w:p>
        </w:tc>
        <w:tc>
          <w:tcPr>
            <w:tcW w:w="2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(4.96)</w:t>
            </w:r>
          </w:p>
        </w:tc>
        <w:tc>
          <w:tcPr>
            <w:tcW w:w="3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Basic and diluted net loss per share was the same for each period presented as the inclusion of all potential Common Stock outstanding would have been anti-dilutive.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potential Common Stock outstanding that was excluded from the computation of diluted net loss per share of Common Stock for the periods presented because including them would have been antidilutive:</w:t>
      </w:r>
    </w:p>
    <w:tbl>
      <w:tblPr>
        <w:tblW w:w="9597" w:type="dxa"/>
        <w:jc w:val="left"/>
        <w:tblInd w:w="0" w:type="dxa"/>
        <w:tblLayout w:type="fixed"/>
        <w:tblCellMar>
          <w:top w:w="28" w:type="dxa"/>
          <w:left w:w="28" w:type="dxa"/>
          <w:bottom w:w="28" w:type="dxa"/>
          <w:right w:w="28" w:type="dxa"/>
        </w:tblCellMar>
      </w:tblPr>
      <w:tblGrid>
        <w:gridCol w:w="830"/>
        <w:gridCol w:w="730"/>
        <w:gridCol w:w="735"/>
        <w:gridCol w:w="1174"/>
        <w:gridCol w:w="1174"/>
        <w:gridCol w:w="1177"/>
        <w:gridCol w:w="109"/>
        <w:gridCol w:w="109"/>
        <w:gridCol w:w="109"/>
        <w:gridCol w:w="1008"/>
        <w:gridCol w:w="1008"/>
        <w:gridCol w:w="1434"/>
      </w:tblGrid>
      <w:tr>
        <w:trPr/>
        <w:tc>
          <w:tcPr>
            <w:tcW w:w="8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2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11,240,688 </w:t>
            </w:r>
          </w:p>
        </w:tc>
        <w:tc>
          <w:tcPr>
            <w:tcW w:w="1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11,240,688 </w:t>
            </w:r>
          </w:p>
        </w:tc>
        <w:tc>
          <w:tcPr>
            <w:tcW w:w="14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w:t>
            </w:r>
          </w:p>
        </w:tc>
        <w:tc>
          <w:tcPr>
            <w:tcW w:w="23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7,146,000 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7,146,000 </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2024 WTI Warrants</w:t>
            </w:r>
          </w:p>
        </w:tc>
        <w:tc>
          <w:tcPr>
            <w:tcW w:w="23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Debentures</w:t>
            </w:r>
          </w:p>
        </w:tc>
        <w:tc>
          <w:tcPr>
            <w:tcW w:w="23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6,409,815 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8,102,531 </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WTI Warrants</w:t>
            </w:r>
          </w:p>
        </w:tc>
        <w:tc>
          <w:tcPr>
            <w:tcW w:w="23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495,074 </w:t>
            </w:r>
          </w:p>
        </w:tc>
        <w:tc>
          <w:tcPr>
            <w:tcW w:w="1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495,074 </w:t>
            </w:r>
          </w:p>
        </w:tc>
        <w:tc>
          <w:tcPr>
            <w:tcW w:w="1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B Preferred Stock</w:t>
            </w:r>
          </w:p>
        </w:tc>
        <w:tc>
          <w:tcPr>
            <w:tcW w:w="2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61,808 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26,516 </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C Preferred Stock</w:t>
            </w:r>
          </w:p>
        </w:tc>
        <w:tc>
          <w:tcPr>
            <w:tcW w:w="2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279,723 </w:t>
            </w:r>
          </w:p>
        </w:tc>
        <w:tc>
          <w:tcPr>
            <w:tcW w:w="1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194,062 </w:t>
            </w:r>
          </w:p>
        </w:tc>
        <w:tc>
          <w:tcPr>
            <w:tcW w:w="1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options</w:t>
            </w:r>
          </w:p>
        </w:tc>
        <w:tc>
          <w:tcPr>
            <w:tcW w:w="2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1,041,667 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1,041,667 </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2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2,210,225 </w:t>
            </w:r>
          </w:p>
        </w:tc>
        <w:tc>
          <w:tcPr>
            <w:tcW w:w="1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2,210,225 </w:t>
            </w:r>
          </w:p>
        </w:tc>
        <w:tc>
          <w:tcPr>
            <w:tcW w:w="1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SARs</w:t>
            </w:r>
          </w:p>
        </w:tc>
        <w:tc>
          <w:tcPr>
            <w:tcW w:w="2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4,000,000 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4,000,000 </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15. Related Party Transactions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more fully described in Note 5. Borrowings, the Company has various notes with affiliates, including short-term notes with three separate related parties which were settled on March 20, 2025. In addition, the Company issued a convertible note to the ESG Fund pursuant to the Amended and Restated Series I Convertible Note Purchase Agreement, dated as of June 2, 2023, by and among Accelsius, ESG Fund, and the other parties thereto, which was converted during the nine months ended September 30, 2024 (Predecessor). During the nine months ended September 30, 2025 (Successor), the Company entered into the Related Party Convertible Notes with various related parties, including other lenders.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Transactions with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more fully described in Note 12. Stock-based Compensation, the Company issued various equity awards to related parties throughout 2024. On December 9, 2024, the Company issued 1,246,722 RSUs with a grant date fair value of $15,210 and 590,163 stock options with a grant date fair value of $3,913 to a cumulative of eight directors. On December 31, 2024, the Company issued 200,000 SARs with a grant date fair value of $7,820 to four directors and former directors. On March 22, 2024, Accelsius issued 100,000 Class C Units with a grant date fair value of $441 to one director under the Accelsius Subsidiary Equity Plan. Additionally, on June 25, 2025, the Company issued 111,525 RSUs with a grant date fair value of $600 to five directors pursuant to the Innventure Non-Management Director Compensation Plan. On August 25, 2025, the Company issued 338,601 RSUs with a grant date fair value of $1,502 to two directors, pursuant to the 2024 Equity and Incentive Compensation Plan.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Transactions with the ESG Fund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more fully described in Note 2. Accounting Policies in our 2024 Annual Report, the Company earns a 1-2% management fee for administrative, finance and accounting, and other back-office functions from the ESG Fund. Management fees earned from the ESG Fund were $— and $391 for the three and nine months ended September 30, 2025 (Successor), respectively, and $195 and $588 for the three and nine months ended September 30, 2024 (Predecessor), respectively, which is recorded as Revenue in the condensed consolidated statements of operations and comprehensive income (loss).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March 2021, the Company entered into a purchase option agreement with the ESG Fund to sell 145,161 shares of PureCycle Technologies, Inc. (“PCT”) common stock with an exercise price of $1. The option period would have expired on July 22, 2024 and the Company measured the derivative liability at fair value, as further described in Note 4. Fair Value. The option was exercised in March 2022 and the shares are subject to the lock-up provisions. The liability due to the ESG Fund was derecognized as a result of the Business Combination.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Transactions with AeroFlexx</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and December 31, 2024, the Company had $6,870 and $4,375, respectively, of advances to AeroFlexx which is included in Due from related parties in the condensed consolidated balance sheets. The advances have no stated interest or maturity date but are expected to be repaid within a year.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March 24, 2025, the Company issued 578,294 shares of Series C Preferred Stock to settle AeroFlexx’s debt with a related party. The Company considers the stock issuance to be an investment in AeroFlexx of $5,783 which was recorded in Investments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16. Commitments and Contingencies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PCT Guaranty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April 22, 2020, the Company entered into a guaranty with a counterparty to unconditionally guarantee PCT’s obligation to reimburse a $5,000 prepayment upon PCT’s failure to meet certain performance thresholds. Performance thresholds include the commission and construction of a plant. The guaranty has no expiration. The total amount paid by the Company under the guaranty is $— and total interest paid is $—. As of September 30, 2025 (Successor) and December 31, 2024 (Predecessor), there was no principal outstanding under the guaranty.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Patent Agreement Contingent Fees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2022, the Company entered into two agreements with an MNC to purchase in-process research and development consisting of patents, technology, and knowledge transfer related to cooling technology for critical electronic equipment in a transaction that was determined to be an asset acquisition.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June 30, 2025, Accelsius entered into an amended and restated agreement with the MNC. The amended agreement modifies several terms and notably (a) eliminates revenue-based royalty payments, (b) extends the due dates for fixed installment payments, (c) modifies and reduces the buy-out fee payable to the MNC in lieu of future installment payments upon certain events such as an assignment of the agreement or a capital event (including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change of control or initial public offering), at the option of either the MNC or Accelsius, and (d) eliminates Accelsius’s ability to unilaterally terminate the agreement upon the occurrence of certain events (other than a material breach) and provides the MNC with certain limited information rights related to the equity ownership of Accelsius.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agreements, the Company is required to make fixed installment payments, as disclosed below, for each year of the agreement through December 31, 2040. </w:t>
      </w:r>
    </w:p>
    <w:tbl>
      <w:tblPr>
        <w:tblW w:w="5886" w:type="dxa"/>
        <w:jc w:val="left"/>
        <w:tblInd w:w="0" w:type="dxa"/>
        <w:tblLayout w:type="fixed"/>
        <w:tblCellMar>
          <w:top w:w="28" w:type="dxa"/>
          <w:left w:w="28" w:type="dxa"/>
          <w:bottom w:w="28" w:type="dxa"/>
          <w:right w:w="28" w:type="dxa"/>
        </w:tblCellMar>
      </w:tblPr>
      <w:tblGrid>
        <w:gridCol w:w="1731"/>
        <w:gridCol w:w="1524"/>
        <w:gridCol w:w="1530"/>
        <w:gridCol w:w="211"/>
        <w:gridCol w:w="736"/>
        <w:gridCol w:w="154"/>
      </w:tblGrid>
      <w:tr>
        <w:trPr/>
        <w:tc>
          <w:tcPr>
            <w:tcW w:w="1731"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Years Ending December 31,</w:t>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(excluding the first nine months of fiscal year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13,075</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License and Royalty Commitments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12, 2024, the Company entered into a license agreement with a third party to obtain exclusive rights to use certain know-how, patents, and data relating to processes for the gasification of plastic waste (the “Gasification Technology”). Ownership of the Gasification Technology will transfer to the Company for a fee of $500 contingent upon achievement of a commercial milestone, which is not yet probable.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committed to pay a semi-annual fee of $65 until ownership transfers or the Gasification Technology is no longer licensed, which is accrued on a monthly basis. During the three and nine months ended September 30, 2025 (Successor), $98 and $33, respectively, related to the Gasification Technology was recognized within General and administrative expense in the condensed consolidated statements of operations and comprehensive income (loss).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is committed to pay annual royalties based on Refinity-related gross sales and licensing revenue starting in 2025. For the three and nine months ended September 30, 2025 (Successor), no royalty payments were made to the third party.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Framework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January 22, 2025, Refinity entered into the Framework Agreement (“Framework Agreement”) with a third party to obtain research services focusing on the further development and optimization of the Gasification Technology.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Refinity agreed to pay a minimum fee of €2,000 for the period beginning January 22, 2025 and ending April 30, 2026 (“Year 1”), and €3,000 for the period beginning May 1, 2026 and ending April 30, 2027 (“Year 2”); provided that, if the third party is unable to provide all of the services contemplated to be provided during Year 1 due to its resource constrains, any unused portion of the minimum fee for Year 1 will be deferred to Year 2 and added to the Year 2 minimum fee. Expenses for services from contracts under the Framework Agreement are recognized as incurred and are applied to the minimum fee. During the three and nine months ended September 30, 2025 (Successor), Refinity incurred €379 and €960, respectively, of service expenses toward the Year 1 minimum fee. After currency conversion, Refinity incurred $445 and $1,064, respectively, toward the Year 1 minimum fee during the three and nine months ended September 30, 2025 (Successor). Additionally, during the three and nine months ended September 30, 2025 (Successor), Refinity made payments of $784 and $1,086, respectively, on costs incurred as a part of the Year 1 minimum fee.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Common Stock Advance Funds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240"/>
        <w:jc w:val="both"/>
        <w:rPr/>
      </w:pPr>
      <w:r>
        <w:rPr>
          <w:rFonts w:ascii="Times New Roman;serif" w:hAnsi="Times New Roman;serif"/>
          <w:b w:val="false"/>
          <w:color w:val="000000"/>
          <w:sz w:val="20"/>
        </w:rPr>
        <w:t xml:space="preserve">During the three and nine months ended September 30, 2025, the Company received $2,159 of advance funds for future equity issuance of the Company. This amount is shown within </w:t>
      </w:r>
      <w:r>
        <w:rPr>
          <w:rFonts w:ascii="Times New Roman;serif" w:hAnsi="Times New Roman;serif"/>
          <w:b w:val="false"/>
          <w:i/>
          <w:color w:val="000000"/>
          <w:sz w:val="20"/>
        </w:rPr>
        <w:t>'Obligation to issue equity'</w:t>
      </w:r>
      <w:r>
        <w:rPr>
          <w:color w:val="000000"/>
        </w:rPr>
        <w:t xml:space="preserve"> </w:t>
      </w:r>
      <w:r>
        <w:rPr>
          <w:rFonts w:ascii="Times New Roman;serif" w:hAnsi="Times New Roman;serif"/>
          <w:b w:val="false"/>
          <w:color w:val="000000"/>
          <w:sz w:val="20"/>
        </w:rPr>
        <w:t>of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17. Business Segment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Chief Executive Officer is the Chief Operating Decision Maker (“CODM”) of the Company. The CODM makes operating decisions, allocates resources and assesses performance based on review of historical and potential future product sales, operating expenses, and net income (loss).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information utilized by the CODM to operate the Company, there is one operating segment and reportable segment, Technology. The Technology segment includes the business activities of Accelsius, a consolidated subsidiary focused on development and manufacture of data center cooling products. Other components of the Company’s consolidated information primarily include operations relating to the original platform business, service activities, Refinity, and equity method investment activities (“Other”).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information about the Company’s Technology segment for the three and nine months ended September 30, 2025 (Successor) and the three and nine months ended September 30, 2024 (Predecessor). The information includes the significant expense categories and amounts regularly provided to the CODM for the reportable segment, which may reflect a different presentation than amounts presented elsewhere in the condensed consolidated financial statements. Inter-segment transactions are not eliminated from segment results when management considers those transactions in assessing the results of the Technology segment. </w:t>
      </w:r>
    </w:p>
    <w:tbl>
      <w:tblPr>
        <w:tblW w:w="10205" w:type="dxa"/>
        <w:jc w:val="left"/>
        <w:tblInd w:w="0" w:type="dxa"/>
        <w:tblLayout w:type="fixed"/>
        <w:tblCellMar>
          <w:top w:w="28" w:type="dxa"/>
          <w:left w:w="28" w:type="dxa"/>
          <w:bottom w:w="28" w:type="dxa"/>
          <w:right w:w="28" w:type="dxa"/>
        </w:tblCellMar>
      </w:tblPr>
      <w:tblGrid>
        <w:gridCol w:w="834"/>
        <w:gridCol w:w="465"/>
        <w:gridCol w:w="466"/>
        <w:gridCol w:w="309"/>
        <w:gridCol w:w="1127"/>
        <w:gridCol w:w="159"/>
        <w:gridCol w:w="109"/>
        <w:gridCol w:w="109"/>
        <w:gridCol w:w="109"/>
        <w:gridCol w:w="109"/>
        <w:gridCol w:w="109"/>
        <w:gridCol w:w="109"/>
        <w:gridCol w:w="387"/>
        <w:gridCol w:w="1158"/>
        <w:gridCol w:w="201"/>
        <w:gridCol w:w="109"/>
        <w:gridCol w:w="109"/>
        <w:gridCol w:w="109"/>
        <w:gridCol w:w="295"/>
        <w:gridCol w:w="1220"/>
        <w:gridCol w:w="152"/>
        <w:gridCol w:w="109"/>
        <w:gridCol w:w="109"/>
        <w:gridCol w:w="109"/>
        <w:gridCol w:w="109"/>
        <w:gridCol w:w="109"/>
        <w:gridCol w:w="109"/>
        <w:gridCol w:w="341"/>
        <w:gridCol w:w="1196"/>
        <w:gridCol w:w="260"/>
      </w:tblGrid>
      <w:tr>
        <w:trPr/>
        <w:tc>
          <w:tcPr>
            <w:tcW w:w="83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 (Predecessor)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 (Predecessor)</w:t>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Employee costs </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8,076 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Facilities, equipment &amp; supplies </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Outside services </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346,557 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Expenses</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13,325</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5,885</w:t>
            </w: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380,399</w:t>
            </w: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16,322</w:t>
            </w:r>
            <w:r>
              <w:rPr>
                <w:color w:val="000000"/>
              </w:rPr>
              <w:t>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(12,818)</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(5,783)</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(379,633)</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(16,220)</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 xml:space="preserve">* Represents depreciation expense not already included in Cost of sales. </w:t>
      </w:r>
    </w:p>
    <w:p>
      <w:pPr>
        <w:pStyle w:val="TextBody"/>
        <w:bidi w:val="0"/>
        <w:spacing w:lineRule="auto" w:line="288" w:before="0" w:after="180"/>
        <w:jc w:val="both"/>
        <w:rPr>
          <w:rFonts w:ascii="Times New Roman;serif" w:hAnsi="Times New Roman;serif"/>
          <w:b w:val="false"/>
          <w:color w:val="000000"/>
          <w:sz w:val="16"/>
        </w:rPr>
      </w:pPr>
      <w:r>
        <w:rPr>
          <w:rFonts w:ascii="Times New Roman;serif" w:hAnsi="Times New Roman;serif"/>
          <w:b w:val="false"/>
          <w:color w:val="000000"/>
          <w:sz w:val="16"/>
        </w:rPr>
        <w:t>** Other - change in fair value of embedded derivative liability, loss on conversion of promissory note, travel and other miscellaneous expenses.</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the reportable segment to amounts reflected in our condensed consolidated financial statements. </w:t>
      </w:r>
    </w:p>
    <w:tbl>
      <w:tblPr>
        <w:tblW w:w="10205" w:type="dxa"/>
        <w:jc w:val="left"/>
        <w:tblInd w:w="0" w:type="dxa"/>
        <w:tblLayout w:type="fixed"/>
        <w:tblCellMar>
          <w:top w:w="28" w:type="dxa"/>
          <w:left w:w="28" w:type="dxa"/>
          <w:bottom w:w="28" w:type="dxa"/>
          <w:right w:w="28" w:type="dxa"/>
        </w:tblCellMar>
      </w:tblPr>
      <w:tblGrid>
        <w:gridCol w:w="853"/>
        <w:gridCol w:w="678"/>
        <w:gridCol w:w="689"/>
        <w:gridCol w:w="288"/>
        <w:gridCol w:w="1044"/>
        <w:gridCol w:w="149"/>
        <w:gridCol w:w="109"/>
        <w:gridCol w:w="109"/>
        <w:gridCol w:w="109"/>
        <w:gridCol w:w="109"/>
        <w:gridCol w:w="109"/>
        <w:gridCol w:w="109"/>
        <w:gridCol w:w="361"/>
        <w:gridCol w:w="1079"/>
        <w:gridCol w:w="188"/>
        <w:gridCol w:w="109"/>
        <w:gridCol w:w="109"/>
        <w:gridCol w:w="109"/>
        <w:gridCol w:w="277"/>
        <w:gridCol w:w="1140"/>
        <w:gridCol w:w="143"/>
        <w:gridCol w:w="109"/>
        <w:gridCol w:w="109"/>
        <w:gridCol w:w="109"/>
        <w:gridCol w:w="109"/>
        <w:gridCol w:w="109"/>
        <w:gridCol w:w="109"/>
        <w:gridCol w:w="319"/>
        <w:gridCol w:w="1117"/>
        <w:gridCol w:w="245"/>
      </w:tblGrid>
      <w:tr>
        <w:trPr/>
        <w:tc>
          <w:tcPr>
            <w:tcW w:w="85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 (Predecessor)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 (Predecessor)</w:t>
            </w:r>
          </w:p>
        </w:tc>
      </w:tr>
      <w:tr>
        <w:trPr/>
        <w:tc>
          <w:tcPr>
            <w:tcW w:w="222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4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management services provided to Technology</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Revenues</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534</w:t>
            </w: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317</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1,234</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764</w:t>
            </w: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Expense:</w:t>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Intercompany Interest</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Consolidated Interest Expense</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3,506</w:t>
            </w: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971</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7,892</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1,421</w:t>
            </w: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Income:</w:t>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Elimination of Intercompany Interest</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Consolidated Interest Income</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w:t>
            </w: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w:t>
            </w: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 Expense:</w:t>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Consolidated Depreciation and Amortization Expense</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5,638</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w:t>
            </w:r>
            <w:r>
              <w:rPr>
                <w:color w:val="000000"/>
              </w:rPr>
              <w:t>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16,821</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w:t>
            </w:r>
            <w:r>
              <w:rPr>
                <w:color w:val="000000"/>
              </w:rPr>
              <w:t>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(5,784)</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(379,633)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(16,221)</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(50,051)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(10,260)</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Net Loss</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(34,735)</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(7,641)</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(429,684)</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(26,481)</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Capital Expenditures</w:t>
            </w:r>
          </w:p>
        </w:tc>
        <w:tc>
          <w:tcPr>
            <w:tcW w:w="2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438</w:t>
            </w:r>
            <w:r>
              <w:rPr>
                <w:color w:val="000000"/>
              </w:rPr>
              <w:t> </w:t>
            </w:r>
          </w:p>
        </w:tc>
        <w:tc>
          <w:tcPr>
            <w:tcW w:w="1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w:t>
            </w:r>
            <w:r>
              <w:rPr>
                <w:color w:val="000000"/>
              </w:rPr>
              <w:t> </w:t>
            </w:r>
          </w:p>
        </w:tc>
        <w:tc>
          <w:tcPr>
            <w:tcW w:w="1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1,371</w:t>
            </w:r>
            <w:r>
              <w:rPr>
                <w:color w:val="000000"/>
              </w:rPr>
              <w:t> </w:t>
            </w:r>
          </w:p>
        </w:tc>
        <w:tc>
          <w:tcPr>
            <w:tcW w:w="1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736</w:t>
            </w:r>
            <w:r>
              <w:rPr>
                <w:color w:val="000000"/>
              </w:rPr>
              <w:t> </w:t>
            </w:r>
          </w:p>
        </w:tc>
        <w:tc>
          <w:tcPr>
            <w:tcW w:w="2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All long-lived assets are located entirely in the United States. Segment assets are not reviewed by the CODM and therefore are not disclosed.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18. Subsequent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Events occurring after September 30, 2025 are: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October and November 2025, the Company issued a total of 4,596,315 shares of Common Stock to Yorkville for a total principal amount of $12,900 of the Convertible Debentures, due to the exercise of conversion option by Yorkville as referenced in Note 5. Borrowings.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 2025, Accelsius issued and sold 685,163 Series B-1 Units (the “Series B-1 Units”) to Johnson Controls, Inc. (“JCI”) for approximately $25,000, before deducting financial advisor fees and other estimated offering expenses. JCI is entitled to appoint and remove a director to the board of directors of Accelsius if JCI and its affiliates maintain a significant ownership percentage. As a result of the sale of Series B-1 Units to JCI, the August 2025 Notes converted into 251,452 Series B-2 units and 125,725 B-2 Warrants were issued.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3, 2025, the Company raised approximately $9,751 through a private placement, issuing 1,625,235 shares of Common Stock at $6.00 per share and Series A warrants to purchase 1,625,235 shares of Common Stock (the “Series A Warrants”). The Series A Warrants, exercisable from April 6, 2026 at $8.00 per share, are redeemable under certain conditions until October 3, 2030.</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8, 2025, the Company repaid the CPN in full due to its related party, amounting to $2,000 in principal, $74 in interest, and $35 for the loan fee, for a total of $2,109.</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November 12, 2025, the Company issued the second tranche of the New Convertible Debentures for $5,000, as referenced in Note 5. Borrowings. The debentures were issued with a 10% original issue discount, yielding $4,500 in net proceeds, bear 5% annual interest, and mature on September 15,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Unless the context otherwise requires, references in this section to “we”, “us” and “our” refer to the business and operations of Innventure LLC and its consolidated subsidiaries prior to the Business Combination, which became the business of the Company and its subsidiaries following the consummation of the Business Combination. Unless otherwise indicated, all dollar amounts (“$”) are expressed in thousands.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and our predecessor’s, as applicable, unaudited condensed consolidated financial statements and related notes as of September 30, 2025 and for the three and nine months ended September 30, 2025 and 2024 included in Item 1 of this Form 10-Q and our predecessor’s, as applicable, audited consolidated financial statements and related notes as of and for the years ended December 31, 2024 and 2023 included in our Annual Report on Form 10-K for the fiscal year ended December 31, 2024 (“Form 10-K”). This discussion contains forward-looking statements that involve risks, uncertainties and assumptions. Our actual results could differ materially from such forward-looking statements. Factors that could cause or contribute to those differences include, but are not limited to, those identified below in this section and those discussed in the sections titled “Risk Factors” and “Cautionary Statement Regarding Forward–Looking Statements” included elsewhere in this Form 10-Q and in the Form 10-K. Additionally, our historical results are not necessarily indicative of the results that may be expected for any period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Innventure founds, funds, and operates companies with a focus on transformative, sustainable technology solutions that we acquire or license from technology innovators, which are typically multinational corporations (“MNCs”) with the intent to maximize values for investors and other stakeholders through positive cash flow generated through holding long term positions in AeroFlexx, LLC (“AeroFlexx” or “AFX”), Accelsius Holdings LLC (“Accelsius” or “ACC”) and Refinity Olefins, LLC (“Refinity” and, together with AeroFlexx and Accelsius, the “Innventure Companies” and, together with those subsidiary companies that Innventure may found, fund, and operate going forward, the “Operating Companies”). Refer to Item 1. Business of the Form 10-K for a detailed discussion of our business activities.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Segments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allocation of resources and assessment of financial performance by our Chief Executive Officer (who has been determined to be our Chief Operating Decision Maker), we have identified one reportable segment: Technology. The Company’s remaining operations are not reportable segments and are classified as “Other.” “Other” primarily includes the Company’s remaining operations consisting of Innventure’s original platform business, service activities, Refinity and other equity method investment activities.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The Business Combination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October 2, 2024 (the “Closing Date” or “Closing”), Learn CW Investment Corporation (“Learn CW”), a Cayman Islands exempted company, and Innventure LLC, a Delaware limited liability company, consummated a business combination (the “Business Combination”) pursuant to the terms of the Business Combination Agreement previously entered into on October 24, 2023. Following the Closing, both Learn CW and Innventure LLC became subsidiaries of Learn SPAC HoldCo, Inc. (“Holdco”), a Delaware corporation and direct, wholly-owned subsidiary of Learn CW prior to Closing. Holdco changed its name to “Innventure, Inc.” and became a publicly traded company. The Business Combination has been accounted for using the acquisition method of accounting. The Company determined the accounting acquirer to be Holdco. Accordingly, the Company recorded assets acquired, liabilities assumed and non-controlling interest at their acquisition date fair values and recognized goodwill.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a consequence of the Business Combination, Innventure, Inc. is the successor to an SEC-registered and Nasdaq-listed company which will require Innventure to hire additional personnel and implement procedures and processes to address public company regulatory requirements and customary practices. Innventure is incurring additional annual expenses as a public company for, among other things, directors’ and officers’ liability insurance, director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fees and additional internal and external accounting, legal and administrative resources, including increased audit and legal fees.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Innventure’s future results of consolidated operations and financial position may not be comparable to historical results as a result of the Business Combination.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Results of Operations for the three and nine months ended September 30, 2025 (Successor) and three and nine months ended September 30, 2024 (Predecessor) (in thousands, except as otherwise noted)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reflect the application of different bases of accounting as a result of the Business Combination, the tables provided below separate the Company’s results via a black line into two distinct periods as follows: (1) three and nine months ended September 30, 2024 (labeled “Predecessor”) and (2) three and nine months ended September 30, 2025 (labeled “Successor”).</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Comparison of the nine months ended September 30, 2025 and September 30, 2024: </w:t>
      </w:r>
    </w:p>
    <w:tbl>
      <w:tblPr>
        <w:tblW w:w="10205" w:type="dxa"/>
        <w:jc w:val="left"/>
        <w:tblInd w:w="0" w:type="dxa"/>
        <w:tblLayout w:type="fixed"/>
        <w:tblCellMar>
          <w:top w:w="28" w:type="dxa"/>
          <w:left w:w="28" w:type="dxa"/>
          <w:bottom w:w="28" w:type="dxa"/>
          <w:right w:w="28" w:type="dxa"/>
        </w:tblCellMar>
      </w:tblPr>
      <w:tblGrid>
        <w:gridCol w:w="1411"/>
        <w:gridCol w:w="1139"/>
        <w:gridCol w:w="1160"/>
        <w:gridCol w:w="320"/>
        <w:gridCol w:w="1116"/>
        <w:gridCol w:w="210"/>
        <w:gridCol w:w="109"/>
        <w:gridCol w:w="109"/>
        <w:gridCol w:w="109"/>
        <w:gridCol w:w="109"/>
        <w:gridCol w:w="109"/>
        <w:gridCol w:w="109"/>
        <w:gridCol w:w="339"/>
        <w:gridCol w:w="1061"/>
        <w:gridCol w:w="222"/>
        <w:gridCol w:w="109"/>
        <w:gridCol w:w="109"/>
        <w:gridCol w:w="109"/>
        <w:gridCol w:w="166"/>
        <w:gridCol w:w="569"/>
        <w:gridCol w:w="109"/>
        <w:gridCol w:w="109"/>
        <w:gridCol w:w="109"/>
        <w:gridCol w:w="109"/>
        <w:gridCol w:w="272"/>
        <w:gridCol w:w="272"/>
        <w:gridCol w:w="531"/>
      </w:tblGrid>
      <w:tr>
        <w:trPr/>
        <w:tc>
          <w:tcPr>
            <w:tcW w:w="141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Nine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Change</w:t>
            </w:r>
          </w:p>
        </w:tc>
      </w:tr>
      <w:tr>
        <w:trPr/>
        <w:tc>
          <w:tcPr>
            <w:tcW w:w="3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2"/>
              </w:rPr>
            </w:pPr>
            <w:r>
              <w:rPr>
                <w:rFonts w:ascii="Times New Roman;serif" w:hAnsi="Times New Roman;serif"/>
                <w:b/>
                <w:color w:val="000000"/>
                <w:sz w:val="12"/>
              </w:rPr>
              <w:t>(%)</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Revenue</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1,234 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764 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61.5 </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Operating Expenses</w:t>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Cost of sales</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7,192 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777 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825.6 </w:t>
            </w:r>
          </w:p>
        </w:tc>
        <w:tc>
          <w:tcPr>
            <w:tcW w:w="53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General and administrative</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55,172 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25,323 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29,849 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117.9 </w:t>
            </w:r>
          </w:p>
        </w:tc>
        <w:tc>
          <w:tcPr>
            <w:tcW w:w="53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Goodwill impairment</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346,557 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346,557 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2"/>
              </w:rPr>
            </w:pPr>
            <w:r>
              <w:rPr>
                <w:rFonts w:ascii="Times New Roman;serif" w:hAnsi="Times New Roman;serif"/>
                <w:b w:val="false"/>
                <w:color w:val="000000"/>
                <w:sz w:val="12"/>
              </w:rPr>
              <w:t>nm*</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Sales and marketing</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6,818 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4,178 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63.2 </w:t>
            </w:r>
          </w:p>
        </w:tc>
        <w:tc>
          <w:tcPr>
            <w:tcW w:w="53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Research and development</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18,472 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5,978 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209.0 </w:t>
            </w:r>
          </w:p>
        </w:tc>
        <w:tc>
          <w:tcPr>
            <w:tcW w:w="53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Total Operating Expenses</w:t>
            </w:r>
          </w:p>
        </w:tc>
        <w:tc>
          <w:tcPr>
            <w:tcW w:w="1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434,211</w:t>
            </w: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36,256</w:t>
            </w: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397,955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1,097.6</w:t>
            </w:r>
            <w:r>
              <w:rPr>
                <w:color w:val="000000"/>
              </w:rPr>
              <w:t> </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Loss from Operations</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(432,977)</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(35,492)</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(397,485)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1,119.9</w:t>
            </w:r>
            <w:r>
              <w:rPr>
                <w:color w:val="000000"/>
              </w:rPr>
              <w:t> </w:t>
            </w:r>
          </w:p>
        </w:tc>
        <w:tc>
          <w:tcPr>
            <w:tcW w:w="5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Non-operating (Expense) and Income</w:t>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Interest expense, net</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(7,586)</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(1,300)</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483.5 </w:t>
            </w:r>
          </w:p>
        </w:tc>
        <w:tc>
          <w:tcPr>
            <w:tcW w:w="53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Net gain on investments</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11,547 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(100.0)</w:t>
            </w:r>
          </w:p>
        </w:tc>
        <w:tc>
          <w:tcPr>
            <w:tcW w:w="5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Net loss on investments – due to related parties</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(468)</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(100.0)</w:t>
            </w:r>
          </w:p>
        </w:tc>
        <w:tc>
          <w:tcPr>
            <w:tcW w:w="53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Change in fair value of financial liabilities</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19,496 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(478)</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19,974 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(4,178.7)</w:t>
            </w:r>
          </w:p>
        </w:tc>
        <w:tc>
          <w:tcPr>
            <w:tcW w:w="53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Equity method investment (loss) income</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(10,282)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893 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(1,251.4)</w:t>
            </w:r>
          </w:p>
        </w:tc>
        <w:tc>
          <w:tcPr>
            <w:tcW w:w="5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Realized gain on conversion of available for sale investment</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1,507 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2"/>
              </w:rPr>
            </w:pPr>
            <w:r>
              <w:rPr>
                <w:rFonts w:ascii="Times New Roman;serif" w:hAnsi="Times New Roman;serif"/>
                <w:b w:val="false"/>
                <w:color w:val="000000"/>
                <w:sz w:val="12"/>
              </w:rPr>
              <w:t>nm*</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Loss on extinguishment of debt</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(3,462)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2"/>
              </w:rPr>
            </w:pPr>
            <w:r>
              <w:rPr>
                <w:rFonts w:ascii="Times New Roman;serif" w:hAnsi="Times New Roman;serif"/>
                <w:b w:val="false"/>
                <w:color w:val="000000"/>
                <w:sz w:val="12"/>
              </w:rPr>
              <w:t>nm*</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Loss on extinguishment of related party debt</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(3,538)</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2"/>
              </w:rPr>
            </w:pPr>
            <w:r>
              <w:rPr>
                <w:rFonts w:ascii="Times New Roman;serif" w:hAnsi="Times New Roman;serif"/>
                <w:b w:val="false"/>
                <w:color w:val="000000"/>
                <w:sz w:val="12"/>
              </w:rPr>
              <w:t>nm*</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Loss on conversion of promissory notes</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(1,119)</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(100.0)</w:t>
            </w:r>
          </w:p>
        </w:tc>
        <w:tc>
          <w:tcPr>
            <w:tcW w:w="53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Miscellaneous other expense</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(64)</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(64)</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Total Non-operating (Expense) Income</w:t>
            </w:r>
          </w:p>
        </w:tc>
        <w:tc>
          <w:tcPr>
            <w:tcW w:w="1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(3,929)</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9,011</w:t>
            </w:r>
            <w:r>
              <w:rPr>
                <w:color w:val="000000"/>
              </w:rPr>
              <w:t>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(12,940)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(143.6)</w:t>
            </w:r>
          </w:p>
        </w:tc>
        <w:tc>
          <w:tcPr>
            <w:tcW w:w="5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Income tax benefit</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(7,222)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nm*</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Net Loss</w:t>
            </w:r>
          </w:p>
        </w:tc>
        <w:tc>
          <w:tcPr>
            <w:tcW w:w="1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(429,684)</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(26,481)</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(403,203)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1,522.6</w:t>
            </w:r>
            <w:r>
              <w:rPr>
                <w:color w:val="000000"/>
              </w:rPr>
              <w:t> </w:t>
            </w:r>
          </w:p>
        </w:tc>
        <w:tc>
          <w:tcPr>
            <w:tcW w:w="5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Less: net loss attributable to</w:t>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Non-controlling interest</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(174,128)</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(11,762)</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(162,366)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1,380.4 </w:t>
            </w:r>
          </w:p>
        </w:tc>
        <w:tc>
          <w:tcPr>
            <w:tcW w:w="5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Net Loss Attributable to Innventure, Inc. Stockholders / Innventure LLC Unitholders</w:t>
            </w:r>
          </w:p>
        </w:tc>
        <w:tc>
          <w:tcPr>
            <w:tcW w:w="1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(255,556)</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(14,719)</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(240,837)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1,636.2</w:t>
            </w:r>
            <w:r>
              <w:rPr>
                <w:color w:val="000000"/>
              </w:rPr>
              <w:t> </w:t>
            </w:r>
          </w:p>
        </w:tc>
        <w:tc>
          <w:tcPr>
            <w:tcW w:w="5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Other comprehensive income (loss), net of taxes:</w:t>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Unrealized gain (loss) on available for sale debt securities - related party</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(410)</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(2,373)</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(82.7)</w:t>
            </w:r>
          </w:p>
        </w:tc>
        <w:tc>
          <w:tcPr>
            <w:tcW w:w="5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Reclassification of realized gain on conversion of available for sale investments</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(1,507)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nm*</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Total other comprehensive income (loss), net of taxes</w:t>
            </w:r>
          </w:p>
        </w:tc>
        <w:tc>
          <w:tcPr>
            <w:tcW w:w="1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(1,917)</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(2,373)</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456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(19.2)</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Total comprehensive loss, net of taxes</w:t>
            </w:r>
          </w:p>
        </w:tc>
        <w:tc>
          <w:tcPr>
            <w:tcW w:w="1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(431,601)</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(28,854)</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(402,747)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1,395.8</w:t>
            </w:r>
            <w:r>
              <w:rPr>
                <w:color w:val="000000"/>
              </w:rPr>
              <w:t> </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Less: comprehensive loss attributable to</w:t>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Non-controlling interest</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(174,128)</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(11,762)</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(162,366)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1,380.4 </w:t>
            </w:r>
          </w:p>
        </w:tc>
        <w:tc>
          <w:tcPr>
            <w:tcW w:w="5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Net Comprehensive Loss Attributable to Innventure, Inc. Stockholders / Innventure LLC Unitholders</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1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(257,473)</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10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(17,092)</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(240,381)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1,406.4</w:t>
            </w:r>
            <w:r>
              <w:rPr>
                <w:color w:val="000000"/>
              </w:rPr>
              <w:t> </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w:t>
            </w:r>
          </w:p>
        </w:tc>
      </w:tr>
    </w:tbl>
    <w:p>
      <w:pPr>
        <w:pStyle w:val="TextBody"/>
        <w:bidi w:val="0"/>
        <w:spacing w:lineRule="auto" w:line="288" w:before="0" w:after="180"/>
        <w:jc w:val="both"/>
        <w:rPr/>
      </w:pPr>
      <w:r>
        <w:rPr>
          <w:rFonts w:ascii="Times New Roman;serif" w:hAnsi="Times New Roman;serif"/>
          <w:b w:val="false"/>
          <w:i/>
          <w:color w:val="000000"/>
          <w:sz w:val="14"/>
        </w:rPr>
        <w:t>*</w:t>
      </w:r>
      <w:r>
        <w:rPr>
          <w:rFonts w:ascii="Times New Roman;serif" w:hAnsi="Times New Roman;serif"/>
          <w:b w:val="false"/>
          <w:i/>
          <w:color w:val="000000"/>
          <w:sz w:val="14"/>
        </w:rPr>
        <w:t>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Revenue was $1,234 for the nine months ended September 30, 2025 (Successor) and $764 for the nine months ended September 30, 2024 (Predecessor), an increase of $470, or 61.5%. The increase was driven by an increase of $667 of product sales in the Technology segment, offset by a decrease of $197 of management fee income.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Cost of sales was $7,192 for the nine months ended September 30, 2025 (Successor) and $777 for the nine months ended September 30, 2024 (Predecessor), an increase of $6,415, or 825.6%. The increase relates to the generation of revenue at the Technology segment resulting in an increase in costs related to supplies and materials amounting to $798, an increase in amortization of intangible assets of $3,660 and an increase in employee costs of $1,642.</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was $55,172 for the nine months ended September 30, 2025 (Successor) and $25,323 for the nine months ended September 30, 2024 (Predecessor), an increase of $29,849, or 117.9%. The increase in expenditure was attributed to increased stock-based compensation costs of $21,916, increased intangible asset amortization of $3,563 and increased professional and legal fees of $4,430.</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Goodwill impairment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Goodwill impairment expense was $346,557 for the nine months ended September 30, 2025 (Successor) and $— for the nine months ended September 30, 2024 (Predecessor), an increase of $346,557. The increase was due to sustained decreases in the Company’s publicly quoted share price and market capitalization, which were sensitive to the general downward volatility experienced in the stock market during late February 2025 through April 2025. For the three months ended September 30, 2025 (Successor), there was no goodwill impairment charge.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 was $6,818 for the nine months ended September 30, 2025 (Successor) and $4,178 for the nine months ended September 30, 2024 (Predecessor), an increase of $2,640, or 63.2%. The increase was due to increased employee costs of $1,772 and an increase in advertising and marketing-related events and expenses primarily associated with the commercialization phase of the Technology segment of $745.</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 was $18,472 for the nine months ended September 30, 2025 (Successor) and $5,978 for the nine months ended September 30, 2024 (Predecessor), an increase of $12,494 or 209.0%. The increase was due to an increase in amortization of intangible assets of $8,981, an increase in employee costs of $2,154 and an increase in development fees at Refinity of roughly $1,357.</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Interest expense, net was $7,586 for the nine months ended September 30, 2025 (Successor) and $1,300 for the nine months ended September 30, 2024 (Predecessor), an increase of $6,286, or 483.5%. The increase was due to interest expense on the convertible debentures (collectively, the “Convertible Debentures”) issued to Yorkville pursuant to each of the securities purchase agreement, dated September 15, 2025 (“Securities Purchase Agreement”), and the securities purchase agreement, dated March 25, 2025, of $3,705, contractual interest expense for the term loan agreement entered into on October 22, 2024 by and among the Company and WTI Fund X, Inc. and WTI Fund XI, Inc. (collectively, “WTI Lenders”), which provides for a term loan facility in the aggregate principal amount of up to $50,000 (the “WTI Facility”) of $2,048, amortization of issuance costs on the WTI Facility of $1,457, partially offset by a net decrease in interest expense related to other debt instruments that have been paid down of $587 and by an increase in interest income of $389.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gain on investments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gain on investments was $— for the nine months ended September 30, 2025 (Successor) and $11,547 for the nine months ended September 30, 2024 (Predecessor), a decrease of $11,547 or 100.0%. The decrease was due to the gain on investment in PureCycle Technologies, Inc. (“PCT”) owned stock via Class PCTA units during the nine months ended September 30, 2024 (Predecessor), which is no longer consolidated in the Company’s condensed consolidated financial statements as a result of Business Combination.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loss on investments – due to related parties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Net loss on investments – due to related parties was $— for the nine months ended September 30, 2025 (Successor) and $468 for the nine months ended September 30, 2024 (Predecessor), a decrease of $468 or 100.0%. The decrease was due to an increase in the fair value of the liability of PCT stock owed to other parties for the nine months ended September 30, 2024 (Predecessor). The Class PCTA associated liabilities are no longer consolidated in the Company’s condensed consolidated financial statements as a result of the Business Combination.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Change in fair value of financial liabilities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financial liabilities decreased by $19,496 for the nine months ended September 30, 2025 (Successor) and increased by $478 for the nine months ended September 30, 2024 (Predecessor), an increase to income of $19,974, or 4,178.7%. The increase to income was primarily due to decreases in fair value for warrants of $14,371 and earnout liabilities of $8,419 and was offset by a net increase in the fair value of the embedded derivative liabilities of $2,816.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Equity method investment (loss)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Equity method investment loss was $10,282 for the nine months ended September 30, 2025 (Successor) and the equity method investment income was $893 for the nine months ended September 30, 2024 (Predecessor), a change of $11,175, or 1,251.4%. The loss during the nine months ended September 30, 2025 (Successor) is related to losses from the Company’s equity method investment in AeroFlexx of $10,233. The income during the nine months ended September 30, 2024 (Predecessor) was due to allocated income from the Innventus ESG Fund I, L.P. (the “ESG Fund”) of $1,742 offset by losses from the Company’s equity method investment in AeroFlexx of $849.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Realized gain on conversion of available for sale investment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Realized gain on conversion of available for sale investment was $1,507 for the nine months ended September 30, 2025 (Successor) and $— for the nine months ended September 30, 2024 (Predecessor), an increase of $1,507. The increase was due to the partial conversion of the AeroFlexx investment in debt securities resulting in a realized gain during the nine months ended September 30, 2025 (Successor).</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Loss on extinguishment of debt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Loss on extinguishment of debt was $3,462 for the nine months ended September 30, 2025 (Successor) and $— for the nine months ended September 30, 2024 (Predecessor), an increase of $3,462. The increase was due to the modification of the WTI Facility in connection with the issuance of the first tranche of Convertible Debentures to Yorkville, which was accounted for as an extinguishment. There was no gain or loss on extinguishment of debt for the nine months ended September 30, 2024 (Predecessor).</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Loss on extinguishment of related party debt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Loss on extinguishment of related party debt was $3,538 for the nine months ended September 30, 2025 (Successor) and $— for the nine months ended September 30, 2024 (Predecessor), an increase of $3,538. The increase was due to the extinguishment of the related party loans by additional issuances of the Company’s series C preferred stock, $0.0001 par value per share (“Series C Preferred Stock”) during the nine months ended September 30, 2025 (Successor). There was no gain or loss on extinguishment of related party debt for the nine months ended September 30, 2024 (Predecessor).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Loss on conversion of promissory notes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Loss on conversion of promissory notes was $— for the nine months ended September 30, 2025 (Successor) and $1,119 for the nine months ended September 30, 2024 (Predecessor), a decrease of $1,119 or 100.0%. This was due to the automatic conversion of promissory notes during the nine months ended September 30, 2024 (Predecessor) into equity instruments which was treated as an extinguishment thereby generating a loss. There was no equivalent transaction for the nine months ended September 30, 2025 (Successor).</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Unrealized gain (loss) on available for sale debt securities - related party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Unrealized loss on available for sale debt securities - related party was $410 for the nine months ended September 30, 2025 (Successor) and $2,373 for the nine months ended September 30, 2024 (Predecessor), a decrease of $1,963 or 82.7%. The decrease was due to the fair value adjustment to the AeroFlexx investment in debt securities which are classified as available for sale.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Reclassification of realized gain on conversion of available for sale investments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Reclassification of realized gain on conversion of available for sale investments was $1,507 for the nine months ended September 30, 2025 (Successor) and $— for the nine months ended September 30, 2024 (Predecessor), an increase of $1,507. The increase was due to the partial conversion of the AeroFlexx investment in debt securities resulting in a realized gain during the nine months ended September 30, 2025 (Successor).</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Loss attributable to Non-controlling interest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Loss attributable to non-controlling interests was $174,128 for the nine months ended September 30, 2025 (Successor) and $11,762 for the nine months ended September 30, 2024 (Predecessor), an increase of $162,366, or 1,380.4%. This was due to the increase in the Technology segment net loss as a result of goodwill impairment during the nine months ended September 30, 2025 (Successor) as compared to the nine months ended September 30, 2024 (Predecessor).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240"/>
        <w:jc w:val="left"/>
        <w:rPr/>
      </w:pPr>
      <w:r>
        <w:rPr/>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Comparison of the three months ended September 30, 2025 and September 30, 2024: </w:t>
      </w:r>
    </w:p>
    <w:tbl>
      <w:tblPr>
        <w:tblW w:w="10205" w:type="dxa"/>
        <w:jc w:val="left"/>
        <w:tblInd w:w="0" w:type="dxa"/>
        <w:tblLayout w:type="fixed"/>
        <w:tblCellMar>
          <w:top w:w="28" w:type="dxa"/>
          <w:left w:w="28" w:type="dxa"/>
          <w:bottom w:w="28" w:type="dxa"/>
          <w:right w:w="28" w:type="dxa"/>
        </w:tblCellMar>
      </w:tblPr>
      <w:tblGrid>
        <w:gridCol w:w="1383"/>
        <w:gridCol w:w="954"/>
        <w:gridCol w:w="966"/>
        <w:gridCol w:w="321"/>
        <w:gridCol w:w="1142"/>
        <w:gridCol w:w="178"/>
        <w:gridCol w:w="109"/>
        <w:gridCol w:w="109"/>
        <w:gridCol w:w="109"/>
        <w:gridCol w:w="109"/>
        <w:gridCol w:w="109"/>
        <w:gridCol w:w="109"/>
        <w:gridCol w:w="373"/>
        <w:gridCol w:w="1088"/>
        <w:gridCol w:w="209"/>
        <w:gridCol w:w="109"/>
        <w:gridCol w:w="109"/>
        <w:gridCol w:w="109"/>
        <w:gridCol w:w="196"/>
        <w:gridCol w:w="678"/>
        <w:gridCol w:w="109"/>
        <w:gridCol w:w="109"/>
        <w:gridCol w:w="109"/>
        <w:gridCol w:w="109"/>
        <w:gridCol w:w="360"/>
        <w:gridCol w:w="362"/>
        <w:gridCol w:w="578"/>
      </w:tblGrid>
      <w:tr>
        <w:trPr/>
        <w:tc>
          <w:tcPr>
            <w:tcW w:w="138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w:t>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68.5 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6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4,147 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433.7 </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16,927 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9,052 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87.0 </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54.3 </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6,151 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142.8 </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Operating Expenses</w:t>
            </w:r>
          </w:p>
        </w:tc>
        <w:tc>
          <w:tcPr>
            <w:tcW w:w="14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29,739</w:t>
            </w: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13,991</w:t>
            </w:r>
            <w:r>
              <w:rPr>
                <w:color w:val="000000"/>
              </w:rPr>
              <w:t>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15,748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112.6</w:t>
            </w:r>
            <w:r>
              <w:rPr>
                <w:color w:val="000000"/>
              </w:rPr>
              <w:t> </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Loss from Operations</w:t>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(29,205)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(13,674)</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(15,531)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113.6</w:t>
            </w:r>
            <w:r>
              <w:rPr>
                <w:color w:val="000000"/>
              </w:rPr>
              <w:t> </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Non-operating (Expense) and Income</w:t>
            </w:r>
          </w:p>
        </w:tc>
        <w:tc>
          <w:tcPr>
            <w:tcW w:w="1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(3,401)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(852)</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299.2 </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on investments</w:t>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7,148 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on investments – due to related parties</w:t>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financial liabilities</w:t>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investment (loss) income</w:t>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(1,569.7)</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Miscellaneous other expense</w:t>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(67.2)</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Non-operating (Expense) Income</w:t>
            </w:r>
          </w:p>
        </w:tc>
        <w:tc>
          <w:tcPr>
            <w:tcW w:w="14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(9,133)</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6,033</w:t>
            </w:r>
            <w:r>
              <w:rPr>
                <w:color w:val="000000"/>
              </w:rPr>
              <w:t>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(15,166)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(251.4)</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(3,603)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14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(34,735)</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(7,641)</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(27,094)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354.6</w:t>
            </w:r>
            <w:r>
              <w:rPr>
                <w:color w:val="000000"/>
              </w:rPr>
              <w:t>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loss attributable to</w:t>
            </w:r>
          </w:p>
        </w:tc>
        <w:tc>
          <w:tcPr>
            <w:tcW w:w="1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(6,403)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(5,430)</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Loss Attributable to Innventure, Inc. Stockholders / Innventure LLC Unitholders</w:t>
            </w:r>
          </w:p>
        </w:tc>
        <w:tc>
          <w:tcPr>
            <w:tcW w:w="14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(28,332)</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(2,211)</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(26,121)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1,181.4</w:t>
            </w:r>
            <w:r>
              <w:rPr>
                <w:color w:val="000000"/>
              </w:rPr>
              <w:t>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comprehensive income (loss), net of taxes:</w:t>
            </w:r>
          </w:p>
        </w:tc>
        <w:tc>
          <w:tcPr>
            <w:tcW w:w="16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available for sale debt securities - related party</w:t>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(111.8)</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other comprehensive income (loss), net of taxes</w:t>
            </w:r>
          </w:p>
        </w:tc>
        <w:tc>
          <w:tcPr>
            <w:tcW w:w="14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281</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(2,373)</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2,654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(111.8)</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comprehensive loss, net of taxes</w:t>
            </w:r>
          </w:p>
        </w:tc>
        <w:tc>
          <w:tcPr>
            <w:tcW w:w="14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(34,454)</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(10,014)</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(24,440)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244.1</w:t>
            </w:r>
            <w:r>
              <w:rPr>
                <w:color w:val="000000"/>
              </w:rPr>
              <w:t>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comprehensive loss attributable to</w:t>
            </w:r>
          </w:p>
        </w:tc>
        <w:tc>
          <w:tcPr>
            <w:tcW w:w="1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(6,403)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(5,430)</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Comprehensive Loss Attributable to Innventure, Inc. Stockholders / Innventure LLC Unitholders</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(28,051)</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(4,584)</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(23,467)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511.9</w:t>
            </w:r>
            <w:r>
              <w:rPr>
                <w:color w:val="000000"/>
              </w:rPr>
              <w:t> </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180"/>
        <w:jc w:val="both"/>
        <w:rPr/>
      </w:pPr>
      <w:r>
        <w:rPr>
          <w:rFonts w:ascii="Times New Roman;serif" w:hAnsi="Times New Roman;serif"/>
          <w:b w:val="false"/>
          <w:i/>
          <w:color w:val="000000"/>
          <w:sz w:val="16"/>
        </w:rPr>
        <w:t>*</w:t>
      </w:r>
      <w:r>
        <w:rPr>
          <w:rFonts w:ascii="Times New Roman;serif" w:hAnsi="Times New Roman;serif"/>
          <w:b w:val="false"/>
          <w:i/>
          <w:color w:val="000000"/>
          <w:sz w:val="16"/>
        </w:rPr>
        <w:t>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Revenue was $534 for the three months ended September 30, 2025 (Successor) and $317 for the three months ended September 30, 2024 (Predecessor), an increase of $217 or 68.5%. The increase was driven by an increase of $412 of product sales in the Technology segment, offset by a decrease of $196 of management fee income.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Cost of sales was $4,147 for the three months ended September 30, 2025 (Successor) and $777 for the three months ended September 30, 2024 (Predecessor), an increase of $3,370 or 433.7%. The increase relates to the generation of revenue at the Technology segment resulting in an increase in costs related to material costs and supplies amounting to $509, an increase in amortization of intangible assets of $2,047 and an increase of employee costs of $655.</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was $16,927 for the three months ended September 30, 2025 (Successor) and $9,052 for the three months ended September 30, 2024 (Predecessor), an increase of $7,875, or 87.0%. The increase was due to increased stock-based compensation costs of $7,592 and amortization expense resulting from the intangibles acquired in the Business Combination of $661.</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 was $2,514 for the three months ended September 30, 2025 (Successor) and $1,629 for the three months ended September 30, 2024 (Predecessor), an increase of $885, or 54.3%. The increase was due to increased employee costs of $590 and a $236 increase in advertising and marketing-related events and expenses primarily associated with the commercialization phase of the Technology segment.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 was $6,151 for the three months ended September 30, 2025 (Successor) and $2,533 for the three months ended September 30, 2024 (Predecessor), an increase of $3,618, or 142.8%. The increase was due to an increase of $2,693 of amortization of intangible assets and an increase in employee costs of $900.</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Interest expense, net was $3,401 for the three months ended September 30, 2025 (Successor) and $852 for the three months ended September 30, 2024 (Predecessor), an increase of $2,549, or 299.2%. The increase was due to interest expense on the Convertible Debentures of $2,004, an increase in contractual interest expense on the WTI Facility of $690, amortization of issuance costs on the WTI Facility of $601, partially offset by a net decrease in interest expense related to other debt instruments that have been paid down of $956.</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gain on investments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gain on investments was $— for the three months ended September 30, 2025 (Successor) and net gain on investments was $7,148 for the three months ended September 30, 2024 (Predecessor), a decrease of $7,148 or 100.0%. The decrease was due to the gain on investment in PCT owned stock via Class PCTA units during the three months ended September 30, 2024 (Predecessor), which is no longer consolidated in the Company’s condensed consolidated financial statements as a result of Business Combination.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loss on investments – due to related parties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Net loss on investments – due to related parties was $— for the three months ended September 30, 2025 (Successor) and $308 for the three months ended September 30, 2024 (Predecessor), a decrease of $308 or 100.0%. The decrease was due to a decrease in the fair value of the liability of PCT stock owed to other parties for the three months ended September 30, 2024 (Predecessor). The Class PCTA associated liabilities are no longer consolidated in the Company’s condensed consolidated financial statements as a result of the Business Combination.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Change in fair value of financial liabilities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fair value of financial liabilities increased by $4,109 for the three months ended September 30, 2025 (Successor) and was $— for the three months ended September 30, 2024 (Predecessor), an overall decrease to income of $4,109. The decrease to income was primarily due to an increase in fair value of the earnout liabilities of $1,090 and a net increase in the fair value of the embedded derivative liabilities of $3,272, offset by a decrease in the fair value of the warrant liabilities of $254.</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Equity method investment (loss)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Equity method investment loss was $1,602 for the three months ended September 30, 2025 (Successor) and equity method investment income was $109 for the three months ended September 30, 2024 (Predecessor), a decrease of $1,711, or 1,569.7%. The loss during the three months ended September 30, 2025 (Successor) is related to losses from the Company’s equity method investment in AeroFlexx of $1,621. The income during the three months ended September 30, 2024 (Predecessor) was due to allocated income from the ESG Fund of $400, offset by losses from the Company’s equity method investment in AeroFlexx of $290.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Unrealized gain (loss) on available for sale debt securities - related party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Unrealized gain on available for sale debt securities - related party was $281 for the three months ended September 30, 2025 (Successor) and unrealized loss on available for sale debt securities - related party amounted to $2,373 for the three months ended September 30, 2024 (Predecessor), a change of $2,654, or 111.8%. The change was due to the fair value adjustment to the AeroFlexx investment in debt securities which are classified as available for sale.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Loss attributable to Non-controlling interest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Loss attributable to non-controlling interests was $6,403 for the three months ended September 30, 2025 (Successor) and $5,430 for the three months ended September 30, 2024 (Predecessor), an increase of $973, or 17.9%. This increase was due to the increase in the Technology segment net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Non-GAAP Financial Measures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use certain financial measures that are not calculated in accordance with generally accepted accounting principles in the U.S. (“GAAP”) to supplement our consolidated financial statements. These non-GAAP financial measures provide additional information to investors to facilitate comparisons of past and present operating results, identify trends in our underlying operating performance, and offer greater transparency on how we evaluate our business activities. These measures are integral to our processes for budgeting, managing operations, making strategic decisions, and evaluating our performance.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primary non-GAAP financial measures are EBITDA and Adjusted EBITDA. We define EBITDA as net income before interest, income taxes, and depreciation and amortization. Adjusted EBITDA is defined as EBITDA further adjusted to exclude certain non-cash items, non-recurring expenses and other items that are not indicative of our core operating activities. These may include stock-based compensation, acquisition costs and other financial items. We believe Adjusted EBITDA is valuable for investors and analysts as it provides additional insight into our operational performance, excluding the impacts of certain financing, investing, and other non-operational activities. This measure helps in comparing our current operating results with prior periods and with those of other companies in our industry. It is also used internally for allocating resources efficiently, assessing the economic outcomes of acquisitions and strategic decisions, and evaluating the performance of our management team.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There are limitations to Adjusted EBITDA, including its exclusion of cash expenditures, future requirements for capital expenditures and contractual commitments, and changes in or cash requirements for working capital needs. Adjusted EBITDA also omits significant interest expenses and related cash requirements for interest and payments. While depreciation and amortization are non-cash charges, the associated assets will often need to be replaced in the future, and Adjusted EBITDA does not reflect the cash required for such replacements. Additionally, Adjusted EBITDA does not account for income or other taxes or necessary cash tax payments.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Investors should use caution when comparing our non-GAAP measure to similar metrics used by other companies, as definitions can vary. Adjusted EBITDA should not be considered in isolation or as a substitute for GAAP financial measures. We provide Adjusted EBITDA as supplemental information to enhance the overall understanding of our financial performance.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from Net Loss to EBITDA and Adjusted EBITDA for the specified periods:</w:t>
      </w:r>
    </w:p>
    <w:tbl>
      <w:tblPr>
        <w:tblW w:w="10205" w:type="dxa"/>
        <w:jc w:val="left"/>
        <w:tblInd w:w="0" w:type="dxa"/>
        <w:tblLayout w:type="fixed"/>
        <w:tblCellMar>
          <w:top w:w="28" w:type="dxa"/>
          <w:left w:w="28" w:type="dxa"/>
          <w:bottom w:w="28" w:type="dxa"/>
          <w:right w:w="28" w:type="dxa"/>
        </w:tblCellMar>
      </w:tblPr>
      <w:tblGrid>
        <w:gridCol w:w="1146"/>
        <w:gridCol w:w="756"/>
        <w:gridCol w:w="770"/>
        <w:gridCol w:w="273"/>
        <w:gridCol w:w="1003"/>
        <w:gridCol w:w="140"/>
        <w:gridCol w:w="109"/>
        <w:gridCol w:w="109"/>
        <w:gridCol w:w="109"/>
        <w:gridCol w:w="109"/>
        <w:gridCol w:w="109"/>
        <w:gridCol w:w="109"/>
        <w:gridCol w:w="328"/>
        <w:gridCol w:w="982"/>
        <w:gridCol w:w="170"/>
        <w:gridCol w:w="109"/>
        <w:gridCol w:w="109"/>
        <w:gridCol w:w="109"/>
        <w:gridCol w:w="259"/>
        <w:gridCol w:w="1076"/>
        <w:gridCol w:w="133"/>
        <w:gridCol w:w="109"/>
        <w:gridCol w:w="109"/>
        <w:gridCol w:w="109"/>
        <w:gridCol w:w="109"/>
        <w:gridCol w:w="109"/>
        <w:gridCol w:w="109"/>
        <w:gridCol w:w="291"/>
        <w:gridCol w:w="1019"/>
        <w:gridCol w:w="224"/>
      </w:tblGrid>
      <w:tr>
        <w:trPr/>
        <w:tc>
          <w:tcPr>
            <w:tcW w:w="114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2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b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w:t>
              <w:b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b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w:t>
              <w:br/>
              <w:t>(Predecessor)</w:t>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(34,735)</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(7,641)</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(429,684)</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(26,481)</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 net</w:t>
            </w:r>
            <w:r>
              <w:rPr>
                <w:rFonts w:ascii="Times New Roman;serif" w:hAnsi="Times New Roman;serif"/>
                <w:b w:val="false"/>
                <w:color w:val="000000"/>
                <w:sz w:val="13"/>
              </w:rPr>
              <w:t>(1)</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(29,298)</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(6,712)</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(412,499)</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(25,035)</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Transaction and other related costs</w:t>
            </w:r>
            <w:r>
              <w:rPr>
                <w:rFonts w:ascii="Times New Roman;serif" w:hAnsi="Times New Roman;serif"/>
                <w:b w:val="false"/>
                <w:color w:val="000000"/>
                <w:sz w:val="13"/>
              </w:rPr>
              <w:t>(2)</w:t>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3,373 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9,414 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Change in fair value of financial liabilities</w:t>
            </w:r>
            <w:r>
              <w:rPr>
                <w:rFonts w:ascii="Times New Roman;serif" w:hAnsi="Times New Roman;serif"/>
                <w:b w:val="false"/>
                <w:color w:val="000000"/>
                <w:sz w:val="13"/>
              </w:rPr>
              <w:t>(3)</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compensation</w:t>
            </w:r>
            <w:r>
              <w:rPr>
                <w:rFonts w:ascii="Times New Roman;serif" w:hAnsi="Times New Roman;serif"/>
                <w:b w:val="false"/>
                <w:color w:val="000000"/>
                <w:sz w:val="13"/>
              </w:rPr>
              <w:t>(4)</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Goodwill impairment</w:t>
            </w:r>
            <w:r>
              <w:rPr>
                <w:rFonts w:ascii="Times New Roman;serif" w:hAnsi="Times New Roman;serif"/>
                <w:b w:val="false"/>
                <w:color w:val="000000"/>
                <w:sz w:val="13"/>
              </w:rPr>
              <w:t>(5)</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346,557 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extinguishment of debt</w:t>
            </w:r>
            <w:r>
              <w:rPr>
                <w:rFonts w:ascii="Times New Roman;serif" w:hAnsi="Times New Roman;serif"/>
                <w:b w:val="false"/>
                <w:color w:val="000000"/>
                <w:sz w:val="13"/>
              </w:rPr>
              <w:t>(6)</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extinguishment of related party debt</w:t>
            </w:r>
            <w:r>
              <w:rPr>
                <w:rFonts w:ascii="Times New Roman;serif" w:hAnsi="Times New Roman;serif"/>
                <w:b w:val="false"/>
                <w:color w:val="000000"/>
                <w:sz w:val="13"/>
              </w:rPr>
              <w:t>(7)</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conversion of promissory notes</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(17,464)</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(2,972)</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(55,466)</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(12,968)</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(1) Interest Expense, net, includes interest incurred on our various borrowing facilities and the amortization of debt issuance costs. </w:t>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(2) Transaction and other related costs – For the three and nine months ended September 30, 2024 (Predecessor), this is comprised of consulting, legal, and other professional fees related to the Business Combination.</w:t>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(3) Change in fair value of financial liabilities – For the three and nine months ended September 30, 2025 (Successor), the change in fair value of financial liabilities primarily consists of the change in fair value of the warrant liability, the earnout liability and the embedded derivatives in various instruments. For the three and nine months ended September 30, 2024 (Predecessor), this is comprised entirely of the change in fair value of the embedded derivative associated with the convertible notes.</w:t>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(4) Stock based compensation – For the three and nine months ended September 30, 2025 (Successor), stock based compensation primarily consisted of awards in the 2024 Equity and Incentive Plan entered into on October 2, 2024 subsequent to the Business Combination. These awards consisted of Stock Options, Restricted Stock Units, and Stock Appreciation Rights. Further, a portion of this expense was related to share-based payment employee incentive plans in existence at subsidiaries. Additional Stock Options were granted in February 2025 and additional Restricted Stock Units were granted in June 2025 and August 2025 which are included in the stock-based compensation caption for their respective periods. For the three and nine months ended September 30, 2024 (Predecessor), stock-based compensation was comprised wholly of share-based payment employee incentive plans in existence at Innventure LLC and other subsidiaries.</w:t>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(5) Goodwill impairment - For the nine months ended September 30, 2025 (Successor), the Company recognized goodwill impairment due to sustained decreases in the Company’s publicly quoted share price and market capitalization, which were, at least in part, sensitive to the general downward volatility experienced in the stock market from late February 2025 through April 2025. The publicly quoted share price stabilized some in May 2025 and June 2025. For the three months ended September 30, 2025 (Successor), there was not a triggering event that occurred, resulting in no additional goodwill impairment charge.There was no similar goodwill impairment charge for the three and nine months ended September 30, 2024 (Predecessor).</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(6) Loss on extinguishment of debt - For the three and nine months ended September 30, 2025 (Successor), the Company modified the WTI Facility, and such modification was accounted for as a debt extinguishment while no debt was repaid. There was no loss on extinguishment of debt for the three and nine months ended September 30, 2024 (Predecessor).</w:t>
      </w:r>
    </w:p>
    <w:p>
      <w:pPr>
        <w:pStyle w:val="TextBody"/>
        <w:bidi w:val="0"/>
        <w:spacing w:lineRule="auto" w:line="288" w:before="0" w:after="180"/>
        <w:jc w:val="both"/>
        <w:rPr>
          <w:rFonts w:ascii="Times New Roman;serif" w:hAnsi="Times New Roman;serif"/>
          <w:b w:val="false"/>
          <w:color w:val="000000"/>
          <w:sz w:val="16"/>
        </w:rPr>
      </w:pPr>
      <w:r>
        <w:rPr>
          <w:rFonts w:ascii="Times New Roman;serif" w:hAnsi="Times New Roman;serif"/>
          <w:b w:val="false"/>
          <w:color w:val="000000"/>
          <w:sz w:val="16"/>
        </w:rPr>
        <w:t>(7) Loss on extinguishment of related party debt - For the three and nine months ended September 30, 2025 (Successor), the Company extinguished certain related party debts by issuing Series C Preferred Stock. There was no loss on extinguishment of related party debt for the three and nine months ended September 30, 2024 (Predecessor).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presenting Adjusted EBITDA, we aim to provide investors with an additional tool for assessing the operational performance of our business. It serves as a useful complement to our GAAP results, offering a more comprehensive understanding of our financial health and operational efficiencies.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Liquidity and Capital Resources (in thousands, except as noted)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discussed in more detail below, management has concluded that there is substantial doubt about our ability to continue as a going concern within one year after the date that these consolidated financial statements included in Item 1. of this Form 10-Q were issued. The condensed consolidated financial statements have been prepared assuming that we will continue as a going concern and, accordingly, do not include any adjustments that might result from the outcome of this uncertainty.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assessing liquidity, we monitor and analyze cash on hand and operating expenditure commitments. Our material cash requirements are from working capital requirements and operating expense obligations.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Sources of Liquidity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components of our liquidity as of September 30, 2025 and December 31, 2024:</w:t>
      </w:r>
    </w:p>
    <w:tbl>
      <w:tblPr>
        <w:tblW w:w="6130" w:type="dxa"/>
        <w:jc w:val="left"/>
        <w:tblInd w:w="0" w:type="dxa"/>
        <w:tblLayout w:type="fixed"/>
        <w:tblCellMar>
          <w:top w:w="28" w:type="dxa"/>
          <w:left w:w="28" w:type="dxa"/>
          <w:bottom w:w="28" w:type="dxa"/>
          <w:right w:w="28" w:type="dxa"/>
        </w:tblCellMar>
      </w:tblPr>
      <w:tblGrid>
        <w:gridCol w:w="820"/>
        <w:gridCol w:w="720"/>
        <w:gridCol w:w="724"/>
        <w:gridCol w:w="397"/>
        <w:gridCol w:w="1165"/>
        <w:gridCol w:w="207"/>
        <w:gridCol w:w="109"/>
        <w:gridCol w:w="109"/>
        <w:gridCol w:w="109"/>
        <w:gridCol w:w="344"/>
        <w:gridCol w:w="1175"/>
        <w:gridCol w:w="251"/>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9,061 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(50,227)</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(45,061)</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long-term future liquidity requirements will depend on many factors, including funding required by us and our Operating Companies to (i) support the growth of the business and the current business strategy; (ii) fund working capital, capital expenditures and general corporate expenditures; and (iii) support other business opportunities and expenditures. As of September 30, 2025, we had limited cash on hand, and over the next 12 months, we anticipate that Innventure and its Operating Companies will require at least $50,000 to meet our collective operating and strategic needs, with an additional $25,000 required to support growth across our Operating Companies in accordance with our current business plan. We expect to meet these needs through a combination of cash on hand, operating cash flows, strategic investments, the Standby Equity Purchase Agreement (the “SEPA”) with Yorkville (maximum remaining availability of approximately $67,000 as of September 30, 2025, subject to the satisfaction of certain conditions in the SEPA and the Purchase Agreements, as described below, which impose additional limitations and conditions upon our ability to access the SEPA) and additional financings completed by us and our Operating Companies. Summarized below are equity and debt financing activities made during the nine months ended September 30, 2025 (Successor) and thereafter:</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Recent equity financing activities include: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Company entered into the SEPA with Yorkville in October 2023, which provides the Company the right, but not the obligation, to sell to Yorkville up to $75,000 in the Company’s common stock, par value $0.0001 per share (“Common Stock”) from time to time through November 2027 (of which approximately $67,000 in Common Stock remains available for issuance under the SEPA), subject to the satisfaction of certain conditions in the SEPA and the Purchase Agreements, which impose additional limitations and conditions upon the Company’s ability to access the SEPA. During the nine months ended September 30, 2025 (Successor), the Company issued 997,573 shares of Common Stock pursuant to the SEPA in payment of $4,937 of principal and $247 of payment premiums for the Convertible Debentures. In addition to the Common Stock issuances pursuant to the SEPA made in repayment towards the Convertible Debentures, the Company sold 73,993 shares of Common Stock under the SEPA, raising $931 in cash proceeds.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Accelsius raised a total of $7,120 through the issuance of Accelsius Series A Preferred units during the nine months ended September 30, 2025 (Successor).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Company issued 2,885,848 shares of Series C Preferred Stock on March 24, 2025 for a total amount of $28,858, with the consideration received in the form of cash, services, and related party debt cancellation.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Accelsius raised $25,000 on October 2, 2025 through the issuance of 685,163 Series B-1 units to JCI. $7,337 of debt converted to equity in the form of 251,452 Series B-2 units and 125,725 B-2 Warrants in conjunction with the issuance of Series B-1 units by Accelsius.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Company raised $9,751 on October 3, 2025 through a private placement by issuing 1,625,235 shares of Common Stock at $6.00 per share and Series A warrants to purchase 1,625,235 shares of Common Stock.</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Recent debt financing activities include: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Company issued $30,000 in Convertible Debentures in April and May 2025, split between two tranches. The Company received $18,000 and $9,000 in cash proceeds for the first and second tranche, respectively. In connection with the issuance of the Convertible Debentures, the Company issued two warrants (the “2025 WTI Warrants”) to purchase, at a price of $0.01 per share (subject to certain limitations and adjustment), up to an aggregate total of 495,074 shares of Common Stock (subject to future adjustments to the number and type of shares pursuant to the 2025 WTI Warrants), to WTI Fund X, LLC and WTI Fund XI, LLC, exercisable through March 31, 2035.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Accelsius entered into unsecured convertible notes (“Related Party Term Convertible Notes”) with certain investors deemed to be Related Parties (as defined in the Company’s Related Party Transactions Policy) for a total principal amount of $4,250 in June 2025. The Related Party Term Convertible Notes are convertible into Series A Units of Accelsius and have a maturity date of December 31, 2026.</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Accelsius entered into an unsecured Convertible Promissory Note (“CPN”) with a related party lender in June 2025 that is drawable in three tranches with 15% interest and a $35 loan fee. As of September 30, 2025, $2,000 was drawn down by Accelsius. On October 8, 2025, the Company repaid the CPN in full due to its related party lender, amounting to $2,000 in principal, $74 in interest, and $35 for the loan fee.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Accelsius issued unsecured convertible notes with various other parties for a total principal amount of $7,750 in June and July of 2025 that are convertible into Series A Units of Accelsius starting January 2026.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Accelsius entered into unsecured convertible promissory notes totaling $9,150 in principal between August 12, 2025 and September 19, 2025, with $7,300 in cash proceeds received by September 30, 2025.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Company entered into the Securities Purchase Agreement with Yorkville on September 15, 2025 to issue the New Convertible Debentures. Of the $15,000 authorized, one tranche totaling $10,000 was issued before September 30, 2025 totaling $9,000 in cash proceeds. On November 12, 2025, the Company issued the second tranche of the New Convertible Debentures for $5,000, totaling $4,500 in cash proceeds. In addition, as provided by the Securities Purchase Agreement, for so long as any amounts remain outstanding under the Convertible Debentures, unless otherwise agreed by Yorkville: (A) the Company shall not submit an advance notice in writing to Yorkville under the SEPA (each, an “Advance,” and notice of such request, an “Advance Notice”) prior to January 15, 2026 (the date that is four months from September 15, 2025); (B) thereafter, the Company may submit an Advance Notice provided that an Amortization Event (as defined in the Convertible Debentures) has not occurred, or has occurred but is not continuing, and certain other conditions have been satisfied under the Convertible Debentures; and (C) notwithstanding the limitations set forth in (A) and (B) above, if an Amortization Event has occurred and is continuing, the Company may submit an Advance Notice provided that (1) the Company requests an Option 2 Pricing Period (as defined in the SEPA) in such Advance Notice and (2) all of the proceeds from such Advance Notice shall be used to satisfy payments due or coming due pursuant to the Convertible Debentures.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Pursuant to the Fifth Amendment to Loan and Security Agreement between Innventure LLC and Accelsius, on September 18, 2025 the Company elected to convert $550 of accrued interest outstanding into 45,159 Series A Units of Accelsius.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All convertible notes are subordinated to the WTI Facility and other debt of the Company owed to the WTI Lenders, and the holders of the convertible notes have agreed not to demand repayment while senior obligations remain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 xml:space="preserve">Cash Flows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 flows associated with operating, investing and financing activities for the nine months ended September 30, 2025 (Successor) and nine months ended September 30, 2024 (Predecessor) are summarized as follows:</w:t>
      </w:r>
    </w:p>
    <w:tbl>
      <w:tblPr>
        <w:tblW w:w="10205" w:type="dxa"/>
        <w:jc w:val="left"/>
        <w:tblInd w:w="0" w:type="dxa"/>
        <w:tblLayout w:type="fixed"/>
        <w:tblCellMar>
          <w:top w:w="28" w:type="dxa"/>
          <w:left w:w="28" w:type="dxa"/>
          <w:bottom w:w="28" w:type="dxa"/>
          <w:right w:w="28" w:type="dxa"/>
        </w:tblCellMar>
      </w:tblPr>
      <w:tblGrid>
        <w:gridCol w:w="1105"/>
        <w:gridCol w:w="912"/>
        <w:gridCol w:w="916"/>
        <w:gridCol w:w="404"/>
        <w:gridCol w:w="1464"/>
        <w:gridCol w:w="225"/>
        <w:gridCol w:w="109"/>
        <w:gridCol w:w="109"/>
        <w:gridCol w:w="109"/>
        <w:gridCol w:w="109"/>
        <w:gridCol w:w="109"/>
        <w:gridCol w:w="109"/>
        <w:gridCol w:w="404"/>
        <w:gridCol w:w="1464"/>
        <w:gridCol w:w="225"/>
        <w:gridCol w:w="109"/>
        <w:gridCol w:w="109"/>
        <w:gridCol w:w="109"/>
        <w:gridCol w:w="196"/>
        <w:gridCol w:w="695"/>
        <w:gridCol w:w="109"/>
        <w:gridCol w:w="278"/>
        <w:gridCol w:w="278"/>
        <w:gridCol w:w="549"/>
      </w:tblGrid>
      <w:tr>
        <w:trPr/>
        <w:tc>
          <w:tcPr>
            <w:tcW w:w="110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2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9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(56,328)</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(18,647)</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(37,681)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202.1 </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(4,079)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(5,822)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(29.9)</w:t>
            </w:r>
          </w:p>
        </w:tc>
        <w:tc>
          <w:tcPr>
            <w:tcW w:w="5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9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63,349 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38,191 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65.9 </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Increase in Cash, Cash Equivalents and Restricted Cash</w:t>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2,942</w:t>
            </w:r>
            <w:r>
              <w:rPr>
                <w:color w:val="000000"/>
              </w:rPr>
              <w:t>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13,722</w:t>
            </w:r>
            <w:r>
              <w:rPr>
                <w:color w:val="000000"/>
              </w:rPr>
              <w:t>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(10,780)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(78.6)</w:t>
            </w:r>
          </w:p>
        </w:tc>
        <w:tc>
          <w:tcPr>
            <w:tcW w:w="5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r>
    </w:tbl>
    <w:p>
      <w:pPr>
        <w:pStyle w:val="TextBody"/>
        <w:bidi w:val="0"/>
        <w:spacing w:lineRule="auto" w:line="288" w:before="0" w:after="18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Net Cash Used in Operating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 flows used in operating activities were $56,328 for the nine months ended September 30, 2025 (Successor), as compared to $18,647 for the nine months ended September 30, 2024 (Predecessor), an increase of $37,681, or 202.1%. The increase is primarily related to an increase in the Company’s operating expenses.</w:t>
      </w:r>
    </w:p>
    <w:p>
      <w:pPr>
        <w:pStyle w:val="TextBody"/>
        <w:bidi w:val="0"/>
        <w:spacing w:lineRule="auto" w:line="288" w:before="0" w:after="18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Net Cash Used in by Investing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 flows used in investing activities were $4,079 for the nine months ended September 30, 2025 (Successor), as compared to $5,822 for the nine months ended September 30, 2024 (Predecessor), a decrease of $1,743 or 29.9%. The decrease is primarily related to lower investments in debt securities and advances to our related parties, partially offset by reduced proceeds from sales of investments.</w:t>
      </w:r>
    </w:p>
    <w:p>
      <w:pPr>
        <w:pStyle w:val="TextBody"/>
        <w:bidi w:val="0"/>
        <w:spacing w:lineRule="auto" w:line="288" w:before="0" w:after="18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Net Cash Provided by Financing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Cash flows provided by financing activities were $63,349 for the nine months ended September 30, 2025 (Successor), as compared to $38,191 for the nine months ended September 30, 2024 (Predecessor), an increase of $25,158 or 65.9%. The increase is primarily related to proceeds from the issuance of additional debt financing.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Indebtedness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Refer to Note 5. Borrowings to our condensed consolidated financial statements for the three and nine months ended September 30, 2025 (Successor) and three and nine months ended September 30, 2024 (Predecessor) included in Item 1. of this Form 10-Q for a discussion of our indebtedness.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Contractual Obligations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our contractual obligations, including payments due by period, as of September 30, 2025:</w:t>
      </w:r>
    </w:p>
    <w:tbl>
      <w:tblPr>
        <w:tblW w:w="10205" w:type="dxa"/>
        <w:jc w:val="left"/>
        <w:tblInd w:w="0" w:type="dxa"/>
        <w:tblLayout w:type="fixed"/>
        <w:tblCellMar>
          <w:top w:w="28" w:type="dxa"/>
          <w:left w:w="28" w:type="dxa"/>
          <w:bottom w:w="28" w:type="dxa"/>
          <w:right w:w="28" w:type="dxa"/>
        </w:tblCellMar>
      </w:tblPr>
      <w:tblGrid>
        <w:gridCol w:w="785"/>
        <w:gridCol w:w="615"/>
        <w:gridCol w:w="618"/>
        <w:gridCol w:w="341"/>
        <w:gridCol w:w="1022"/>
        <w:gridCol w:w="176"/>
        <w:gridCol w:w="109"/>
        <w:gridCol w:w="109"/>
        <w:gridCol w:w="109"/>
        <w:gridCol w:w="211"/>
        <w:gridCol w:w="736"/>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736"/>
        <w:gridCol w:w="157"/>
      </w:tblGrid>
      <w:tr>
        <w:trPr/>
        <w:tc>
          <w:tcPr>
            <w:tcW w:w="78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 (remaining 3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obligations</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future installments payable</w:t>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3,134</w:t>
            </w:r>
            <w:r>
              <w:rPr>
                <w:color w:val="000000"/>
              </w:rPr>
              <w:t>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60,353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9,536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5,614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9,900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88,537</w:t>
            </w:r>
            <w:r>
              <w:rPr>
                <w:color w:val="000000"/>
              </w:rPr>
              <w:t>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Going Concern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have experienced recurring losses from operations and negative cash flows from operating activities. In addition, we continue to have an ongoing need to raise significant additional cash from outside sources to sustain our operations and fund our growth plans.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our assessment of going concern considerations in accordance with Financial Accounting Standard Board’s Accounting Standards Update 2014-15, “Disclosures of Uncertainties about an Entity’s Ability to Continue as a Going Concern,” management has determined that these conditions raise substantial doubt about our ability to continue as a going concern within one year after the date of the condensed consolidated financial statements included in Item 1. of this Form 10-Q. If we are unable to obtain adequate capital from public or private equity or debt financing or otherwise generate sufficient revenues from our Operating Companies to support our cost structure within the normal operating cycle of a twelve (12) month period, we may have to implement additional cost reduction measures or adjust the timing or scope of certain operations at Innventure or certain Innventure Companies, in part or in full, to help manage liquidity. If we raise additional funds through the issuance of additional debt or equity securities (at either the Innventure or Operating Company level), it could result in substantial dilution to our existing stockholders and increased fixed payment obligations, and these securities may have rights senior to those of our Common Stock. See “Item 1A. Risk Factors – Risks Related to Innventure’s Business – There is uncertainty regarding Innventure’s ability to maintain liquidity sufficient to operate its business effectively, which raises substantial doubt about its ability to continue as a going concern.” in our Form 10-K.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can make no assurances that required financings will be available for the amounts needed, or on terms commercially acceptable to us, if at all. If subsequent capital raises or revenues from operations at the Innventure Companies are insufficient to bridge financial and liquidity shortfalls (or both), there would likely be a material adverse effect on our business and financial condition that would materially adversely affect our ability to continue as a going concern.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have been prepared assuming that we will continue as a going concern and, accordingly, do not include any adjustments that might result from the outcome of this uncertainty.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described in Note 2. Accounting Policies to our unaudited condensed consolidated financial statements included in this Form 10-Q, there have been no material changes to our critical accounting policies and estimates as compared to the critical accounting policies and estimates disclosed in the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We are a smaller reporting company, as defined in Rule 12b-2 under the Exchange Act, for this reporting period and are not required to provide the information required under this item.</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supervision and with the participation of our management, including our Chief Executive Officer and Chief Financial Officer,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and procedures are designed to ensure that information required to be disclosed in the reports that are filed or submitted under the Exchange Act is accumulated and communicated to management, including the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as ours are designed to do, and management necessarily applies its judgment in evaluating the cost-benefit relationship of possible controls and procedures. </w:t>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that evaluation, the Chief Executive Officer and the Chief Financial Officer have concluded that the Company's disclosure controls and procedures were not effective at a reasonable level of assurance as of September 30, 2025, because of the material weaknesses in our internal control over financial reporting. </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material weaknesses identified were as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24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 xml:space="preserve">Innventure’s system of internal controls over financial reporting failed to prevent or detect material adjustments necessary to appropriately present certain complex and significant unusual transactions in accordance with GAAP due primarily to insufficient staffing of personnel possessing the appropriate accounting and financial reporting knowledge and experience to review and monitor third-party consultants; </w:t>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 xml:space="preserve">Innventure’s system of internal controls over financial reporting did not include necessary information technology general controls including related to (i) periodic user access reviews, (ii) user provisioning and de-provisioning, (iii) restriction of privileged access and (iv) authentication settings; </w:t>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 xml:space="preserve">Innventure did not maintain effectively designed and implemented controls over the costing and existence of inventory as of September 30, 2024, including controls over the calculation of such inventory on the weighted average basis; </w:t>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Innventure did not maintain evidence of control procedures over the periodic reconciliation of significant accounts. This included lack of segregation of duties and lack of review.</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developed a remediation plan for the material weaknesses that have been identified, including enhancing our complement of resources with accounting and internal control knowledge through additional hiring and/or training to implement and perform additional controls over: (a) the initial and subsequent accounting for complex and significant unusual transactions, (b) general IT controls and (c) segregation of duties. We are currently implementing this plan. When fully implemented and operating effectively, such enhancements are expected to remediate the material weaknesses described above. However, we cannot provide any assurance that these remediation efforts will be successful or that our internal control over financial reporting will be effective as a result of these efforts.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is in the process of establishing and is refining its internal procedures and controls to address the material weaknesses previously disclosed.</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Other than as described above, during the most recent fiscal quarter, there have been no changes in the Company's internal control over financial reporting, as defined in Rules 13a-15(f) and 15d-15(f) under the Exchange Act, that have materially affected or are reasonably likely to materially affect the Company’s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There are presently no material pending legal proceedings to which the Company (including AeroFlexx, Accelsius and Refinity) is a party or of which any of its property is subject and no material proceedings to which any director, officer, or affiliate of the Company, or any owner of record or beneficially of more than five percent of any class of voting securities of the Company, is an adverse party or has a material interest adverse to the Company, and no such proceedings are known to the Company to be threatened or contemplated against it.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 smaller reporting company, as defined in Rule 12b-2 under the Exchange Act, for this reporting period and are not required to provide the information required under this item. </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Recent Sales of Unregistered Equity Securities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15, 2025, the Company entered into the Securities Purchase Agreement with Yorkville in connection with the issuance and sale by the Company of the New Convertible Debentures issuable in an aggregate principal amount of up to $15,000,000, which New Convertible Debentures are convertible into Common Stock and include embedded derivatives. Pursuant to the terms of the Securities Purchase Agreement, Yorkville purchased and the Company issued, $10,000,000 in aggregate principal amount of New Convertible Debentures on September 15, 2025.</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SEPA, during the three months ended September 30, 2025, the Company issued an aggregate of 523,748 shares of Common Stock to Yorkville for aggregate gross proceeds of $2,732.</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issued each of the foregoing securities in transactions not involving an underwriter and not requiring registration under Section 5 of the Securities Act in reliance on the exemption afforded by Section 4(a)(2) thereof or Regulation D promulgated under the Securities Act.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Issuer Repurchases of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Insider Trading Arrangements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September 30, 2025, none of our directors or officers (as defined in Rule 16a-1(f) under the Exchange Act) adopted, modified or terminated a Rule 10b5-1 trading arrangement or a “non-Rule 10b5-1 trading arrangement” (as defined in Item 408 of Regulation 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24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61"/>
        <w:gridCol w:w="317"/>
        <w:gridCol w:w="318"/>
        <w:gridCol w:w="109"/>
        <w:gridCol w:w="109"/>
        <w:gridCol w:w="109"/>
        <w:gridCol w:w="2663"/>
        <w:gridCol w:w="2565"/>
        <w:gridCol w:w="3654"/>
      </w:tblGrid>
      <w:tr>
        <w:trPr/>
        <w:tc>
          <w:tcPr>
            <w:tcW w:w="36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3654" w:type="dxa"/>
            <w:tcBorders/>
            <w:vAlign w:val="center"/>
          </w:tcPr>
          <w:p>
            <w:pPr>
              <w:pStyle w:val="TableContents"/>
              <w:bidi w:val="0"/>
              <w:spacing w:before="0" w:after="283"/>
              <w:jc w:val="left"/>
              <w:rPr>
                <w:sz w:val="4"/>
                <w:szCs w:val="4"/>
              </w:rPr>
            </w:pPr>
            <w:r>
              <w:rPr>
                <w:sz w:val="4"/>
                <w:szCs w:val="4"/>
              </w:rPr>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Exhibits</w:t>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"https://www.sec.gov/Archives/edgar/data/2001557/000114036124040480/ny20012992x29_s4a.htm" \l "tANNEXA"</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 xml:space="preserve">Business Combination Agreement, dated as of October 24, 2023, by and among Learn SPAC Holdco, Inc., Learn CW Investment Corporation, LCW Merger Sub, Inc., Innventure LLC and Innventure Merger Sub, LLC (incorporated by reference to Annex A to Innventure, Inc.’s Registration Statement on Form S-4 filed with the SEC on September 6, 2024). </w:t>
            </w:r>
            <w:r>
              <w:rPr>
                <w:rStyle w:val="InternetLink"/>
                <w:sz w:val="20"/>
                <w:u w:val="single"/>
                <w:b w:val="false"/>
                <w:rFonts w:ascii="Times New Roman;serif" w:hAnsi="Times New Roman;serif"/>
                <w:color w:val="0000FF"/>
              </w:rPr>
              <w:fldChar w:fldCharType="end"/>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 xml:space="preserve">Amended and Restated Certificate of Incorporation of Innventure, Inc., filed with the Secretary of State of Delaware on October 2, 2024 (incorporated by reference to Exhibit 3.1 to Innventure Inc.’s Current Report on Form 8-K filed with the SEC on October 9, 2024). </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 xml:space="preserve">By-laws of Innventure, Inc. (incorporated by reference to Exhibit 3.2 to Innventure Inc.’s Current Report on Form 8-K filed with the SEC on October 9, 2024). </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Certificate of Designation of Series B Preferred Stock, dated October 2, 2024, of Innventure, Inc. (incorporated by reference to Exhibit 3.3 to Innventure, Inc.’s Quarterly Report on Form 10-Q filed with the SEC on May 15, 2025).</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Certificate of Designation of Series C Preferred Stock, dated March 24, 2025, of Innventure, Inc. (incorporated by reference to Exhibit 3.1 to Innventure Inc.’s Current Report on Form 8-K filed with the SEC on March 25, 2025).</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Third</w:t>
            </w:r>
            <w:hyperlink r:id="rId6">
              <w:r>
                <w:rPr>
                  <w:rStyle w:val="InternetLink"/>
                  <w:color w:val="0000FF"/>
                  <w:u w:val="single"/>
                </w:rPr>
                <w:t xml:space="preserve"> </w:t>
              </w:r>
            </w:hyperlink>
            <w:hyperlink r:id="rId7">
              <w:r>
                <w:rPr>
                  <w:rStyle w:val="InternetLink"/>
                  <w:rFonts w:ascii="Times New Roman;serif" w:hAnsi="Times New Roman;serif"/>
                  <w:b w:val="false"/>
                  <w:color w:val="0000FF"/>
                  <w:sz w:val="20"/>
                  <w:u w:val="single"/>
                </w:rPr>
                <w:t xml:space="preserve">Convertible Debenture, issued to YA II PN, Ltd., dated </w:t>
              </w:r>
            </w:hyperlink>
            <w:hyperlink r:id="rId8">
              <w:r>
                <w:rPr>
                  <w:rStyle w:val="InternetLink"/>
                  <w:rFonts w:ascii="Times New Roman;serif" w:hAnsi="Times New Roman;serif"/>
                  <w:b w:val="false"/>
                  <w:color w:val="000080"/>
                  <w:sz w:val="20"/>
                  <w:u w:val="single"/>
                </w:rPr>
                <w:t>September 15, 2025</w:t>
              </w:r>
            </w:hyperlink>
            <w:hyperlink r:id="rId9">
              <w:r>
                <w:rPr>
                  <w:rStyle w:val="InternetLink"/>
                  <w:rFonts w:ascii="Times New Roman;serif" w:hAnsi="Times New Roman;serif"/>
                  <w:b w:val="false"/>
                  <w:color w:val="000080"/>
                  <w:sz w:val="20"/>
                  <w:u w:val="single"/>
                </w:rPr>
                <w:t xml:space="preserve"> (incorporated by reference to Exhibit 4.1 to Innventure, Inc.’s Current Report on Form 8-K </w:t>
              </w:r>
            </w:hyperlink>
            <w:hyperlink r:id="rId10">
              <w:r>
                <w:rPr>
                  <w:rStyle w:val="InternetLink"/>
                  <w:rFonts w:ascii="Times New Roman;serif" w:hAnsi="Times New Roman;serif"/>
                  <w:b w:val="false"/>
                  <w:color w:val="000080"/>
                  <w:sz w:val="20"/>
                  <w:u w:val="single"/>
                </w:rPr>
                <w:t>filed with the SEC on</w:t>
              </w:r>
            </w:hyperlink>
            <w:hyperlink r:id="rId11">
              <w:r>
                <w:rPr>
                  <w:rStyle w:val="InternetLink"/>
                  <w:rFonts w:ascii="Times New Roman;serif" w:hAnsi="Times New Roman;serif"/>
                  <w:b w:val="false"/>
                  <w:color w:val="000080"/>
                  <w:sz w:val="20"/>
                  <w:u w:val="single"/>
                </w:rPr>
                <w:t xml:space="preserve"> September 16</w:t>
              </w:r>
            </w:hyperlink>
            <w:hyperlink r:id="rId12">
              <w:r>
                <w:rPr>
                  <w:rStyle w:val="InternetLink"/>
                  <w:rFonts w:ascii="Times New Roman;serif" w:hAnsi="Times New Roman;serif"/>
                  <w:b w:val="false"/>
                  <w:color w:val="000080"/>
                  <w:sz w:val="20"/>
                  <w:u w:val="single"/>
                </w:rPr>
                <w:t>, 2025).</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Securities Purchase Agreement, by and between Innventure, Inc. and YA II PN, Ltd., dated September 15, 2025</w:t>
            </w:r>
            <w:hyperlink r:id="rId13">
              <w:r>
                <w:rPr>
                  <w:rStyle w:val="InternetLink"/>
                  <w:color w:val="0000FF"/>
                  <w:u w:val="single"/>
                </w:rPr>
                <w:t xml:space="preserve"> </w:t>
              </w:r>
            </w:hyperlink>
            <w:hyperlink r:id="rId14">
              <w:r>
                <w:rPr>
                  <w:rStyle w:val="InternetLink"/>
                  <w:rFonts w:ascii="Times New Roman;serif" w:hAnsi="Times New Roman;serif"/>
                  <w:b w:val="false"/>
                  <w:color w:val="0000FF"/>
                  <w:sz w:val="20"/>
                  <w:u w:val="single"/>
                </w:rPr>
                <w:t xml:space="preserve">(incorporated by reference to Exhibit 10.1 to Innventure, Inc.’s Current Report on Form 8-K </w:t>
              </w:r>
            </w:hyperlink>
            <w:hyperlink r:id="rId15">
              <w:r>
                <w:rPr>
                  <w:rStyle w:val="InternetLink"/>
                  <w:rFonts w:ascii="Times New Roman;serif" w:hAnsi="Times New Roman;serif"/>
                  <w:b w:val="false"/>
                  <w:color w:val="000080"/>
                  <w:sz w:val="20"/>
                  <w:u w:val="single"/>
                </w:rPr>
                <w:t>filed with the SEC on</w:t>
              </w:r>
            </w:hyperlink>
            <w:hyperlink r:id="rId16">
              <w:r>
                <w:rPr>
                  <w:rStyle w:val="InternetLink"/>
                  <w:rFonts w:ascii="Times New Roman;serif" w:hAnsi="Times New Roman;serif"/>
                  <w:b w:val="false"/>
                  <w:color w:val="000080"/>
                  <w:sz w:val="20"/>
                  <w:u w:val="single"/>
                </w:rPr>
                <w:t xml:space="preserve"> </w:t>
              </w:r>
            </w:hyperlink>
            <w:hyperlink r:id="rId17">
              <w:r>
                <w:rPr>
                  <w:rStyle w:val="InternetLink"/>
                  <w:rFonts w:ascii="Times New Roman;serif" w:hAnsi="Times New Roman;serif"/>
                  <w:b w:val="false"/>
                  <w:color w:val="000080"/>
                  <w:sz w:val="20"/>
                  <w:u w:val="single"/>
                </w:rPr>
                <w:t>September 16</w:t>
              </w:r>
            </w:hyperlink>
            <w:hyperlink r:id="rId18">
              <w:r>
                <w:rPr>
                  <w:rStyle w:val="InternetLink"/>
                  <w:rFonts w:ascii="Times New Roman;serif" w:hAnsi="Times New Roman;serif"/>
                  <w:b w:val="false"/>
                  <w:color w:val="000080"/>
                  <w:sz w:val="20"/>
                  <w:u w:val="single"/>
                </w:rPr>
                <w:t>, 2025).</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Global Guaranty</w:t>
            </w:r>
            <w:hyperlink r:id="rId19">
              <w:r>
                <w:rPr>
                  <w:rStyle w:val="InternetLink"/>
                  <w:color w:val="0000FF"/>
                  <w:u w:val="single"/>
                </w:rPr>
                <w:t xml:space="preserve"> </w:t>
              </w:r>
            </w:hyperlink>
            <w:hyperlink r:id="rId20">
              <w:r>
                <w:rPr>
                  <w:rStyle w:val="InternetLink"/>
                  <w:rFonts w:ascii="Times New Roman;serif" w:hAnsi="Times New Roman;serif"/>
                  <w:b w:val="false"/>
                  <w:color w:val="0000FF"/>
                  <w:sz w:val="20"/>
                  <w:u w:val="single"/>
                </w:rPr>
                <w:t>Agreement</w:t>
              </w:r>
            </w:hyperlink>
            <w:hyperlink r:id="rId21">
              <w:r>
                <w:rPr>
                  <w:rStyle w:val="InternetLink"/>
                  <w:rFonts w:ascii="Times New Roman;serif" w:hAnsi="Times New Roman;serif"/>
                  <w:b w:val="false"/>
                  <w:color w:val="000080"/>
                  <w:sz w:val="20"/>
                  <w:u w:val="single"/>
                </w:rPr>
                <w:t xml:space="preserve"> by Innventure LLC</w:t>
              </w:r>
            </w:hyperlink>
            <w:hyperlink r:id="rId22">
              <w:r>
                <w:rPr>
                  <w:rStyle w:val="InternetLink"/>
                  <w:rFonts w:ascii="Times New Roman;serif" w:hAnsi="Times New Roman;serif"/>
                  <w:b w:val="false"/>
                  <w:color w:val="000080"/>
                  <w:sz w:val="20"/>
                  <w:u w:val="single"/>
                </w:rPr>
                <w:t xml:space="preserve">, dated </w:t>
              </w:r>
            </w:hyperlink>
            <w:hyperlink r:id="rId23">
              <w:r>
                <w:rPr>
                  <w:rStyle w:val="InternetLink"/>
                  <w:rFonts w:ascii="Times New Roman;serif" w:hAnsi="Times New Roman;serif"/>
                  <w:b w:val="false"/>
                  <w:color w:val="000080"/>
                  <w:sz w:val="20"/>
                  <w:u w:val="single"/>
                </w:rPr>
                <w:t>September 15</w:t>
              </w:r>
            </w:hyperlink>
            <w:hyperlink r:id="rId24">
              <w:r>
                <w:rPr>
                  <w:rStyle w:val="InternetLink"/>
                  <w:rFonts w:ascii="Times New Roman;serif" w:hAnsi="Times New Roman;serif"/>
                  <w:b w:val="false"/>
                  <w:color w:val="000080"/>
                  <w:sz w:val="20"/>
                  <w:u w:val="single"/>
                </w:rPr>
                <w:t>, 2025</w:t>
              </w:r>
            </w:hyperlink>
            <w:hyperlink r:id="rId25">
              <w:r>
                <w:rPr>
                  <w:rStyle w:val="InternetLink"/>
                  <w:rFonts w:ascii="Times New Roman;serif" w:hAnsi="Times New Roman;serif"/>
                  <w:b w:val="false"/>
                  <w:color w:val="000080"/>
                  <w:sz w:val="20"/>
                  <w:u w:val="single"/>
                </w:rPr>
                <w:t xml:space="preserve"> (incorporated by reference to Exhibit 10.2 to Innventure, Inc.’s Current Report on Form 8-K </w:t>
              </w:r>
            </w:hyperlink>
            <w:hyperlink r:id="rId26">
              <w:r>
                <w:rPr>
                  <w:rStyle w:val="InternetLink"/>
                  <w:rFonts w:ascii="Times New Roman;serif" w:hAnsi="Times New Roman;serif"/>
                  <w:b w:val="false"/>
                  <w:color w:val="000080"/>
                  <w:sz w:val="20"/>
                  <w:u w:val="single"/>
                </w:rPr>
                <w:t>filed with the SEC on</w:t>
              </w:r>
            </w:hyperlink>
            <w:hyperlink r:id="rId27">
              <w:r>
                <w:rPr>
                  <w:rStyle w:val="InternetLink"/>
                  <w:rFonts w:ascii="Times New Roman;serif" w:hAnsi="Times New Roman;serif"/>
                  <w:b w:val="false"/>
                  <w:color w:val="000080"/>
                  <w:sz w:val="20"/>
                  <w:u w:val="single"/>
                </w:rPr>
                <w:t xml:space="preserve"> </w:t>
              </w:r>
            </w:hyperlink>
            <w:hyperlink r:id="rId28">
              <w:r>
                <w:rPr>
                  <w:rStyle w:val="InternetLink"/>
                  <w:rFonts w:ascii="Times New Roman;serif" w:hAnsi="Times New Roman;serif"/>
                  <w:b w:val="false"/>
                  <w:color w:val="000080"/>
                  <w:sz w:val="20"/>
                  <w:u w:val="single"/>
                </w:rPr>
                <w:t>September 16</w:t>
              </w:r>
            </w:hyperlink>
            <w:hyperlink r:id="rId29">
              <w:r>
                <w:rPr>
                  <w:rStyle w:val="InternetLink"/>
                  <w:rFonts w:ascii="Times New Roman;serif" w:hAnsi="Times New Roman;serif"/>
                  <w:b w:val="false"/>
                  <w:color w:val="000080"/>
                  <w:sz w:val="20"/>
                  <w:u w:val="single"/>
                </w:rPr>
                <w:t>, 2025).</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Registration Rights Agreement, dated September 15, 2025, between Innventure, Inc. and YA II PN, Ltd.</w:t>
            </w:r>
            <w:hyperlink r:id="rId30">
              <w:r>
                <w:rPr>
                  <w:rStyle w:val="InternetLink"/>
                  <w:color w:val="0000FF"/>
                  <w:u w:val="single"/>
                </w:rPr>
                <w:t xml:space="preserve"> </w:t>
              </w:r>
            </w:hyperlink>
            <w:hyperlink r:id="rId31">
              <w:r>
                <w:rPr>
                  <w:rStyle w:val="InternetLink"/>
                  <w:rFonts w:ascii="Times New Roman;serif" w:hAnsi="Times New Roman;serif"/>
                  <w:b w:val="false"/>
                  <w:color w:val="0000FF"/>
                  <w:sz w:val="20"/>
                  <w:u w:val="single"/>
                </w:rPr>
                <w:t>(incorporated by reference to Exhibit 10.</w:t>
              </w:r>
            </w:hyperlink>
            <w:hyperlink r:id="rId32">
              <w:r>
                <w:rPr>
                  <w:rStyle w:val="InternetLink"/>
                  <w:rFonts w:ascii="Times New Roman;serif" w:hAnsi="Times New Roman;serif"/>
                  <w:b w:val="false"/>
                  <w:color w:val="000080"/>
                  <w:sz w:val="20"/>
                  <w:u w:val="single"/>
                </w:rPr>
                <w:t>3</w:t>
              </w:r>
            </w:hyperlink>
            <w:hyperlink r:id="rId33">
              <w:r>
                <w:rPr>
                  <w:rStyle w:val="InternetLink"/>
                  <w:rFonts w:ascii="Times New Roman;serif" w:hAnsi="Times New Roman;serif"/>
                  <w:b w:val="false"/>
                  <w:color w:val="000080"/>
                  <w:sz w:val="20"/>
                  <w:u w:val="single"/>
                </w:rPr>
                <w:t xml:space="preserve"> to Innventure, Inc.’s Current Report on Form 8-K </w:t>
              </w:r>
            </w:hyperlink>
            <w:hyperlink r:id="rId34">
              <w:r>
                <w:rPr>
                  <w:rStyle w:val="InternetLink"/>
                  <w:rFonts w:ascii="Times New Roman;serif" w:hAnsi="Times New Roman;serif"/>
                  <w:b w:val="false"/>
                  <w:color w:val="000080"/>
                  <w:sz w:val="20"/>
                  <w:u w:val="single"/>
                </w:rPr>
                <w:t>filed with th</w:t>
              </w:r>
            </w:hyperlink>
            <w:hyperlink r:id="rId35">
              <w:r>
                <w:rPr>
                  <w:rStyle w:val="InternetLink"/>
                  <w:rFonts w:ascii="Times New Roman;serif" w:hAnsi="Times New Roman;serif"/>
                  <w:b w:val="false"/>
                  <w:color w:val="000080"/>
                  <w:sz w:val="20"/>
                  <w:u w:val="single"/>
                </w:rPr>
                <w:t>e SEC on September 16, 20</w:t>
              </w:r>
            </w:hyperlink>
            <w:hyperlink r:id="rId36">
              <w:r>
                <w:rPr>
                  <w:rStyle w:val="InternetLink"/>
                  <w:rFonts w:ascii="Times New Roman;serif" w:hAnsi="Times New Roman;serif"/>
                  <w:b w:val="false"/>
                  <w:color w:val="000080"/>
                  <w:sz w:val="20"/>
                  <w:u w:val="single"/>
                </w:rPr>
                <w:t>25</w:t>
              </w:r>
            </w:hyperlink>
            <w:hyperlink r:id="rId37">
              <w:r>
                <w:rPr>
                  <w:rStyle w:val="InternetLink"/>
                  <w:rFonts w:ascii="Times New Roman;serif" w:hAnsi="Times New Roman;serif"/>
                  <w:b w:val="false"/>
                  <w:color w:val="000080"/>
                  <w:sz w:val="20"/>
                  <w:u w:val="single"/>
                </w:rPr>
                <w:t>).</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80"/>
                  <w:sz w:val="20"/>
                  <w:u w:val="single"/>
                </w:rPr>
                <w:t>Amendment to Convertible Debentures,</w:t>
              </w:r>
            </w:hyperlink>
            <w:hyperlink r:id="rId39">
              <w:r>
                <w:rPr>
                  <w:rStyle w:val="InternetLink"/>
                  <w:rFonts w:ascii="Times New Roman;serif" w:hAnsi="Times New Roman;serif"/>
                  <w:b w:val="false"/>
                  <w:color w:val="000080"/>
                  <w:sz w:val="20"/>
                  <w:u w:val="single"/>
                </w:rPr>
                <w:t xml:space="preserve"> </w:t>
              </w:r>
            </w:hyperlink>
            <w:hyperlink r:id="rId40">
              <w:r>
                <w:rPr>
                  <w:rStyle w:val="InternetLink"/>
                  <w:rFonts w:ascii="Times New Roman;serif" w:hAnsi="Times New Roman;serif"/>
                  <w:b w:val="false"/>
                  <w:color w:val="000080"/>
                  <w:sz w:val="20"/>
                  <w:u w:val="single"/>
                </w:rPr>
                <w:t>by and between Innventure, Inc. and YA II PN, Ltd.</w:t>
              </w:r>
            </w:hyperlink>
            <w:hyperlink r:id="rId41">
              <w:r>
                <w:rPr>
                  <w:rStyle w:val="InternetLink"/>
                  <w:rFonts w:ascii="Times New Roman;serif" w:hAnsi="Times New Roman;serif"/>
                  <w:b w:val="false"/>
                  <w:color w:val="000080"/>
                  <w:sz w:val="20"/>
                  <w:u w:val="single"/>
                </w:rPr>
                <w:t xml:space="preserve">, dated September 15, 2025 </w:t>
              </w:r>
            </w:hyperlink>
            <w:hyperlink r:id="rId42">
              <w:r>
                <w:rPr>
                  <w:rStyle w:val="InternetLink"/>
                  <w:rFonts w:ascii="Times New Roman;serif" w:hAnsi="Times New Roman;serif"/>
                  <w:b w:val="false"/>
                  <w:color w:val="000080"/>
                  <w:sz w:val="20"/>
                  <w:u w:val="single"/>
                </w:rPr>
                <w:t>(incorporated by reference to Exhibit 10.</w:t>
              </w:r>
            </w:hyperlink>
            <w:hyperlink r:id="rId43">
              <w:r>
                <w:rPr>
                  <w:rStyle w:val="InternetLink"/>
                  <w:rFonts w:ascii="Times New Roman;serif" w:hAnsi="Times New Roman;serif"/>
                  <w:b w:val="false"/>
                  <w:color w:val="000080"/>
                  <w:sz w:val="20"/>
                  <w:u w:val="single"/>
                </w:rPr>
                <w:t>4</w:t>
              </w:r>
            </w:hyperlink>
            <w:hyperlink r:id="rId44">
              <w:r>
                <w:rPr>
                  <w:rStyle w:val="InternetLink"/>
                  <w:rFonts w:ascii="Times New Roman;serif" w:hAnsi="Times New Roman;serif"/>
                  <w:b w:val="false"/>
                  <w:color w:val="000080"/>
                  <w:sz w:val="20"/>
                  <w:u w:val="single"/>
                </w:rPr>
                <w:t xml:space="preserve"> to Innventure, Inc.’s Current Report on Form 8-K </w:t>
              </w:r>
            </w:hyperlink>
            <w:hyperlink r:id="rId45">
              <w:r>
                <w:rPr>
                  <w:rStyle w:val="InternetLink"/>
                  <w:rFonts w:ascii="Times New Roman;serif" w:hAnsi="Times New Roman;serif"/>
                  <w:b w:val="false"/>
                  <w:color w:val="000080"/>
                  <w:sz w:val="20"/>
                  <w:u w:val="single"/>
                </w:rPr>
                <w:t xml:space="preserve">filed with the SEC on </w:t>
              </w:r>
            </w:hyperlink>
            <w:hyperlink r:id="rId46">
              <w:r>
                <w:rPr>
                  <w:rStyle w:val="InternetLink"/>
                  <w:rFonts w:ascii="Times New Roman;serif" w:hAnsi="Times New Roman;serif"/>
                  <w:b w:val="false"/>
                  <w:color w:val="000080"/>
                  <w:sz w:val="20"/>
                  <w:u w:val="single"/>
                </w:rPr>
                <w:t>September 1</w:t>
              </w:r>
            </w:hyperlink>
            <w:hyperlink r:id="rId47">
              <w:r>
                <w:rPr>
                  <w:rStyle w:val="InternetLink"/>
                  <w:rFonts w:ascii="Times New Roman;serif" w:hAnsi="Times New Roman;serif"/>
                  <w:b w:val="false"/>
                  <w:color w:val="000080"/>
                  <w:sz w:val="20"/>
                  <w:u w:val="single"/>
                </w:rPr>
                <w:t>6</w:t>
              </w:r>
            </w:hyperlink>
            <w:hyperlink r:id="rId48">
              <w:r>
                <w:rPr>
                  <w:rStyle w:val="InternetLink"/>
                  <w:rFonts w:ascii="Times New Roman;serif" w:hAnsi="Times New Roman;serif"/>
                  <w:b w:val="false"/>
                  <w:color w:val="000080"/>
                  <w:sz w:val="20"/>
                  <w:u w:val="single"/>
                </w:rPr>
                <w:t>, 2025).</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erif" w:hAnsi="Times New Roman;serif"/>
                  <w:b w:val="false"/>
                  <w:color w:val="000080"/>
                  <w:sz w:val="20"/>
                  <w:u w:val="single"/>
                </w:rPr>
                <w:t xml:space="preserve">Form of Term Convertible Note (incorporated by reference to Exhibit 10.1 to Innventure, Inc.’s Current Report on Form 8-K </w:t>
              </w:r>
            </w:hyperlink>
            <w:hyperlink r:id="rId50">
              <w:r>
                <w:rPr>
                  <w:rStyle w:val="InternetLink"/>
                  <w:rFonts w:ascii="Times New Roman;serif" w:hAnsi="Times New Roman;serif"/>
                  <w:b w:val="false"/>
                  <w:color w:val="000080"/>
                  <w:sz w:val="20"/>
                  <w:u w:val="single"/>
                </w:rPr>
                <w:t>filed with the SEC on</w:t>
              </w:r>
            </w:hyperlink>
            <w:hyperlink r:id="rId51">
              <w:r>
                <w:rPr>
                  <w:rStyle w:val="InternetLink"/>
                  <w:rFonts w:ascii="Times New Roman;serif" w:hAnsi="Times New Roman;serif"/>
                  <w:b w:val="false"/>
                  <w:color w:val="000080"/>
                  <w:sz w:val="20"/>
                  <w:u w:val="single"/>
                </w:rPr>
                <w:t xml:space="preserve"> July 1, 2025).</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0080"/>
                  <w:sz w:val="20"/>
                  <w:u w:val="single"/>
                </w:rPr>
                <w:t xml:space="preserve">Form of Bridge Convertible Note (incorporated by reference to Exhibit 10.3 to Innventure, Inc.’s Current Report on Form 8-K </w:t>
              </w:r>
            </w:hyperlink>
            <w:hyperlink r:id="rId53">
              <w:r>
                <w:rPr>
                  <w:rStyle w:val="InternetLink"/>
                  <w:rFonts w:ascii="Times New Roman;serif" w:hAnsi="Times New Roman;serif"/>
                  <w:b w:val="false"/>
                  <w:color w:val="000080"/>
                  <w:sz w:val="20"/>
                  <w:u w:val="single"/>
                </w:rPr>
                <w:t>filed with the SEC on</w:t>
              </w:r>
            </w:hyperlink>
            <w:hyperlink r:id="rId54">
              <w:r>
                <w:rPr>
                  <w:rStyle w:val="InternetLink"/>
                  <w:rFonts w:ascii="Times New Roman;serif" w:hAnsi="Times New Roman;serif"/>
                  <w:b w:val="false"/>
                  <w:color w:val="000080"/>
                  <w:sz w:val="20"/>
                  <w:u w:val="single"/>
                </w:rPr>
                <w:t xml:space="preserve"> July 1, 2025).</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nv-exhibit311to2025q310xq.htm">
              <w:r>
                <w:rPr>
                  <w:rStyle w:val="InternetLink"/>
                  <w:rFonts w:ascii="Times New Roman;serif" w:hAnsi="Times New Roman;serif"/>
                  <w:b w:val="false"/>
                  <w:color w:val="000080"/>
                  <w:sz w:val="20"/>
                  <w:u w:val="single"/>
                </w:rPr>
                <w:t xml:space="preserve">Rule 13a-14(a) Certification by Gregory W. Haskell, Chief Executive Officer, for the quarter ended </w:t>
              </w:r>
            </w:hyperlink>
            <w:hyperlink w:anchor="inv-exhibit311to2025q310xq.htm">
              <w:r>
                <w:rPr>
                  <w:rStyle w:val="InternetLink"/>
                  <w:rFonts w:ascii="Times New Roman;serif" w:hAnsi="Times New Roman;serif"/>
                  <w:b w:val="false"/>
                  <w:color w:val="000080"/>
                  <w:sz w:val="20"/>
                  <w:u w:val="single"/>
                </w:rPr>
                <w:t>September</w:t>
              </w:r>
            </w:hyperlink>
            <w:hyperlink w:anchor="inv-exhibit311to2025q310xq.htm">
              <w:r>
                <w:rPr>
                  <w:rStyle w:val="InternetLink"/>
                  <w:rFonts w:ascii="Times New Roman;serif" w:hAnsi="Times New Roman;serif"/>
                  <w:b w:val="false"/>
                  <w:color w:val="000080"/>
                  <w:sz w:val="20"/>
                  <w:u w:val="single"/>
                </w:rPr>
                <w:t xml:space="preserve"> 30, 2025</w:t>
              </w:r>
            </w:hyperlink>
            <w:hyperlink w:anchor="inv-exhibit311to2025q310xq.htm">
              <w:r>
                <w:rPr>
                  <w:rStyle w:val="InternetLink"/>
                  <w:rFonts w:ascii="Times New Roman;serif" w:hAnsi="Times New Roman;serif"/>
                  <w:b w:val="false"/>
                  <w:color w:val="000080"/>
                  <w:sz w:val="20"/>
                  <w:u w:val="single"/>
                </w:rPr>
                <w:t>.</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nv-exhibit312to2025q310xq.htm">
              <w:r>
                <w:rPr>
                  <w:rStyle w:val="InternetLink"/>
                  <w:rFonts w:ascii="Times New Roman;serif" w:hAnsi="Times New Roman;serif"/>
                  <w:b w:val="false"/>
                  <w:color w:val="000080"/>
                  <w:sz w:val="20"/>
                  <w:u w:val="single"/>
                </w:rPr>
                <w:t xml:space="preserve">Rule 13a-14(a) Certification by David Yablunosky, Chief Financial Officer, for the quarter ended </w:t>
              </w:r>
            </w:hyperlink>
            <w:hyperlink w:anchor="inv-exhibit312to2025q310xq.htm">
              <w:r>
                <w:rPr>
                  <w:rStyle w:val="InternetLink"/>
                  <w:rFonts w:ascii="Times New Roman;serif" w:hAnsi="Times New Roman;serif"/>
                  <w:b w:val="false"/>
                  <w:color w:val="000080"/>
                  <w:sz w:val="20"/>
                  <w:u w:val="single"/>
                </w:rPr>
                <w:t>September</w:t>
              </w:r>
            </w:hyperlink>
            <w:hyperlink w:anchor="inv-exhibit312to2025q310xq.htm">
              <w:r>
                <w:rPr>
                  <w:rStyle w:val="InternetLink"/>
                  <w:rFonts w:ascii="Times New Roman;serif" w:hAnsi="Times New Roman;serif"/>
                  <w:b w:val="false"/>
                  <w:color w:val="000080"/>
                  <w:sz w:val="20"/>
                  <w:u w:val="single"/>
                </w:rPr>
                <w:t xml:space="preserve"> 30, 2025</w:t>
              </w:r>
            </w:hyperlink>
            <w:hyperlink w:anchor="inv-exhibit312to2025q310xq.htm">
              <w:r>
                <w:rPr>
                  <w:rStyle w:val="InternetLink"/>
                  <w:rFonts w:ascii="Times New Roman;serif" w:hAnsi="Times New Roman;serif"/>
                  <w:b w:val="false"/>
                  <w:color w:val="000080"/>
                  <w:sz w:val="20"/>
                  <w:u w:val="single"/>
                </w:rPr>
                <w:t>.</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nv-exhibit321to2025q310xq.htm">
              <w:r>
                <w:rPr>
                  <w:rStyle w:val="InternetLink"/>
                  <w:rFonts w:ascii="Times New Roman;serif" w:hAnsi="Times New Roman;serif"/>
                  <w:b w:val="false"/>
                  <w:color w:val="000080"/>
                  <w:sz w:val="20"/>
                  <w:u w:val="single"/>
                </w:rPr>
                <w:t xml:space="preserve">Section 1350 Certification by Gregory W. Haskell, Chief Executive Officer, for the quarter ended </w:t>
              </w:r>
            </w:hyperlink>
            <w:hyperlink w:anchor="inv-exhibit321to2025q310xq.htm">
              <w:r>
                <w:rPr>
                  <w:rStyle w:val="InternetLink"/>
                  <w:rFonts w:ascii="Times New Roman;serif" w:hAnsi="Times New Roman;serif"/>
                  <w:b w:val="false"/>
                  <w:color w:val="000080"/>
                  <w:sz w:val="20"/>
                  <w:u w:val="single"/>
                </w:rPr>
                <w:t>September</w:t>
              </w:r>
            </w:hyperlink>
            <w:hyperlink w:anchor="inv-exhibit321to2025q310xq.htm">
              <w:r>
                <w:rPr>
                  <w:rStyle w:val="InternetLink"/>
                  <w:rFonts w:ascii="Times New Roman;serif" w:hAnsi="Times New Roman;serif"/>
                  <w:b w:val="false"/>
                  <w:color w:val="000080"/>
                  <w:sz w:val="20"/>
                  <w:u w:val="single"/>
                </w:rPr>
                <w:t xml:space="preserve"> 30, 2025</w:t>
              </w:r>
            </w:hyperlink>
            <w:hyperlink w:anchor="inv-exhibit321to2025q310xq.htm">
              <w:r>
                <w:rPr>
                  <w:rStyle w:val="InternetLink"/>
                  <w:rFonts w:ascii="Times New Roman;serif" w:hAnsi="Times New Roman;serif"/>
                  <w:b w:val="false"/>
                  <w:color w:val="000080"/>
                  <w:sz w:val="20"/>
                  <w:u w:val="single"/>
                </w:rPr>
                <w:t>.</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nv-exhibit322to2025q310xq.htm">
              <w:r>
                <w:rPr>
                  <w:rStyle w:val="InternetLink"/>
                  <w:rFonts w:ascii="Times New Roman;serif" w:hAnsi="Times New Roman;serif"/>
                  <w:b w:val="false"/>
                  <w:color w:val="000080"/>
                  <w:sz w:val="20"/>
                  <w:u w:val="single"/>
                </w:rPr>
                <w:t xml:space="preserve">Section 1350 Certification by David Yablunosky, Chief Financial Officer, for the quarter ended </w:t>
              </w:r>
            </w:hyperlink>
            <w:hyperlink w:anchor="inv-exhibit322to2025q310xq.htm">
              <w:r>
                <w:rPr>
                  <w:rStyle w:val="InternetLink"/>
                  <w:rFonts w:ascii="Times New Roman;serif" w:hAnsi="Times New Roman;serif"/>
                  <w:b w:val="false"/>
                  <w:color w:val="000080"/>
                  <w:sz w:val="20"/>
                  <w:u w:val="single"/>
                </w:rPr>
                <w:t>September</w:t>
              </w:r>
            </w:hyperlink>
            <w:hyperlink w:anchor="inv-exhibit322to2025q310xq.htm">
              <w:r>
                <w:rPr>
                  <w:rStyle w:val="InternetLink"/>
                  <w:rFonts w:ascii="Times New Roman;serif" w:hAnsi="Times New Roman;serif"/>
                  <w:b w:val="false"/>
                  <w:color w:val="000080"/>
                  <w:sz w:val="20"/>
                  <w:u w:val="single"/>
                </w:rPr>
                <w:t xml:space="preserve"> 30, 202</w:t>
              </w:r>
            </w:hyperlink>
            <w:hyperlink w:anchor="inv-exhibit322to2025q310xq.htm">
              <w:r>
                <w:rPr>
                  <w:rStyle w:val="InternetLink"/>
                  <w:rFonts w:ascii="Times New Roman;serif" w:hAnsi="Times New Roman;serif"/>
                  <w:b w:val="false"/>
                  <w:color w:val="000080"/>
                  <w:sz w:val="20"/>
                  <w:u w:val="single"/>
                </w:rPr>
                <w:t>5.</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313"/>
        <w:gridCol w:w="275"/>
        <w:gridCol w:w="276"/>
        <w:gridCol w:w="109"/>
        <w:gridCol w:w="109"/>
        <w:gridCol w:w="109"/>
        <w:gridCol w:w="2809"/>
        <w:gridCol w:w="2570"/>
        <w:gridCol w:w="3635"/>
      </w:tblGrid>
      <w:tr>
        <w:trPr/>
        <w:tc>
          <w:tcPr>
            <w:tcW w:w="3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9"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Exhibits</w:t>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statements from Innventure, Inc.’s Quarterly Report on Form 10-Q for the quarter ended September 30, 2025, formatted in Inline XBRL (eXtensible Business Reporting Language): (i) Condensed Consolidated Balance Sheets as of September 30, 2025 and December 31, 2024; (ii) Condensed Consolidated Statements of Operations and Comprehensive Income (Loss) for the three and nine months ended September 30, 2025 (Successor), and for the three and nine months ended September 30, 2024 (Predecessor); (iii) Condensed Consolidated Statements of Changes in Unitholders’ Deficit for the period December 31, 2023 through the three and nine months ended September 30, 2024 (Predecessor); (iv) Condensed Consolidated Statements of Changes in Mezzanine and Stockholders’ Equity (Deficit) for the period December 31, 2024 through the three and nine months ended September 30, 2025 (Successor); (v) Condensed Consolidated Statements of Cash Flows for the nine months ended September 30, 2025 (Successor), and the nine months ended September 30, 2024 (Predecessor); and (vi) Notes to Condensed Consolidated Financial Statements.</w:t>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*Filed herewith</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**Furnished herewith</w:t>
      </w:r>
    </w:p>
    <w:p>
      <w:pPr>
        <w:pStyle w:val="TextBody"/>
        <w:bidi w:val="0"/>
        <w:spacing w:before="0" w:after="24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+Schedules and exhibits have been omitted pursuant to Item 601(b)(2) of Regulation S-K. The registrant agrees to furnish supplementally a copy of any omitted schedule or exhibit to the SEC upon request.</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^Certain schedules have been omitted pursuant to Item 601(a)(5) of Regulation S-K. Innventure, Inc. agrees to furnish a copy of any omitted schedule to the SEC upon request.</w:t>
      </w:r>
    </w:p>
    <w:p>
      <w:pPr>
        <w:pStyle w:val="TextBody"/>
        <w:bidi w:val="0"/>
        <w:spacing w:lineRule="auto" w:line="288"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Certain identified information has been excluded pursuant to Rule 601(b)(10) of Regulation S-K because it is both (i) not material and (ii) is the type of information that the registrant treats as private or confidential.</w:t>
      </w:r>
    </w:p>
    <w:p>
      <w:pPr>
        <w:pStyle w:val="TextBody"/>
        <w:bidi w:val="0"/>
        <w:spacing w:before="0" w:after="180"/>
        <w:jc w:val="left"/>
        <w:rPr/>
      </w:pPr>
      <w:r>
        <w:rPr/>
      </w:r>
    </w:p>
    <w:p>
      <w:pPr>
        <w:pStyle w:val="TextBody"/>
        <w:bidi w:val="0"/>
        <w:spacing w:before="0" w:after="18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both"/>
        <w:rPr/>
      </w:pPr>
      <w:r>
        <w:rPr/>
      </w:r>
    </w:p>
    <w:tbl>
      <w:tblPr>
        <w:tblW w:w="6218" w:type="dxa"/>
        <w:jc w:val="left"/>
        <w:tblInd w:w="0" w:type="dxa"/>
        <w:tblLayout w:type="fixed"/>
        <w:tblCellMar>
          <w:top w:w="28" w:type="dxa"/>
          <w:left w:w="28" w:type="dxa"/>
          <w:bottom w:w="28" w:type="dxa"/>
          <w:right w:w="28" w:type="dxa"/>
        </w:tblCellMar>
      </w:tblPr>
      <w:tblGrid>
        <w:gridCol w:w="797"/>
        <w:gridCol w:w="702"/>
        <w:gridCol w:w="706"/>
        <w:gridCol w:w="298"/>
        <w:gridCol w:w="298"/>
        <w:gridCol w:w="298"/>
        <w:gridCol w:w="909"/>
        <w:gridCol w:w="909"/>
        <w:gridCol w:w="1301"/>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INNVENTURE, INC.</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Gregory W. Haskell</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Gregory W. Haskell</w:t>
            </w:r>
          </w:p>
        </w:tc>
      </w:tr>
      <w:tr>
        <w:trPr/>
        <w:tc>
          <w:tcPr>
            <w:tcW w:w="220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David Yablunosky</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David Yablunosky</w:t>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13, 2025</w:t>
            </w:r>
          </w:p>
        </w:tc>
        <w:tc>
          <w:tcPr>
            <w:tcW w:w="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1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Director</w:t>
            </w:r>
          </w:p>
        </w:tc>
      </w:tr>
    </w:tbl>
    <w:p>
      <w:pPr>
        <w:pStyle w:val="TextBody"/>
        <w:bidi w:val="0"/>
        <w:spacing w:before="0" w:after="60"/>
        <w:jc w:val="center"/>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31.1</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Gregory W. Haskell, certify that: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Innventure, Inc.;</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13,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By:</w:t>
      </w:r>
      <w:r>
        <w:rPr>
          <w:color w:val="000000"/>
          <w:u w:val="single"/>
        </w:rPr>
        <w:t>     </w:t>
      </w:r>
      <w:r>
        <w:rPr>
          <w:rFonts w:ascii="Times New Roman;serif" w:hAnsi="Times New Roman;serif"/>
          <w:b w:val="false"/>
          <w:color w:val="000000"/>
          <w:sz w:val="24"/>
          <w:u w:val="single"/>
        </w:rPr>
        <w:t>/s/ Gregory W. Haskell</w:t>
      </w:r>
      <w:r>
        <w:rPr>
          <w:color w:val="000000"/>
          <w:u w:val="single"/>
        </w:rPr>
        <w:t>                                            </w:t>
      </w: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Gregory W. Haskell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extBody"/>
        <w:bidi w:val="0"/>
        <w:spacing w:lineRule="auto" w:line="288"/>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31.2</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David Yablunosky, certify that: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Innventure, Inc.;</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ind w:left="0" w:right="0" w:firstLine="7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13,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By: </w:t>
      </w:r>
      <w:r>
        <w:rPr>
          <w:color w:val="000000"/>
          <w:u w:val="single"/>
        </w:rPr>
        <w:t>      </w:t>
      </w:r>
      <w:r>
        <w:rPr>
          <w:rFonts w:ascii="Times New Roman;serif" w:hAnsi="Times New Roman;serif"/>
          <w:b w:val="false"/>
          <w:color w:val="000000"/>
          <w:sz w:val="24"/>
          <w:u w:val="single"/>
        </w:rPr>
        <w:t>/s/ David Yablunosky</w:t>
      </w:r>
      <w:r>
        <w:rPr>
          <w:color w:val="000000"/>
          <w:u w:val="single"/>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David Yablunosky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extBody"/>
        <w:bidi w:val="0"/>
        <w:spacing w:lineRule="auto" w:line="288"/>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32.1</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Innventure, Inc. (the “Company”) on Form 10-Q for the three months ended September 30, 2025 (the “Report”), Gregory W. Haskell, Chief Executive Officer of the Company, certifies, to the best of his knowledge,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13,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By: </w:t>
      </w:r>
      <w:r>
        <w:rPr>
          <w:color w:val="000000"/>
          <w:u w:val="single"/>
        </w:rPr>
        <w:t>    </w:t>
      </w:r>
      <w:r>
        <w:rPr>
          <w:rFonts w:ascii="Times New Roman;serif" w:hAnsi="Times New Roman;serif"/>
          <w:b w:val="false"/>
          <w:color w:val="000000"/>
          <w:sz w:val="24"/>
          <w:u w:val="single"/>
        </w:rPr>
        <w:t>/s/ Gregory W. Haskell</w:t>
      </w:r>
      <w:r>
        <w:rPr>
          <w:color w:val="000000"/>
          <w:u w:val="single"/>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Gregory W. Haskell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32.2</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Innventure, Inc. (the “Company”) on Form 10-Q for the three months ended September 30, 2025 (the “Report”), David Yablunosky, Chief Financial Officer of the Company, certifies, to the best of his knowledge,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13,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By: </w:t>
      </w:r>
      <w:r>
        <w:rPr>
          <w:color w:val="000000"/>
          <w:u w:val="single"/>
        </w:rPr>
        <w:t>       </w:t>
      </w:r>
      <w:r>
        <w:rPr>
          <w:rFonts w:ascii="Times New Roman;serif" w:hAnsi="Times New Roman;serif"/>
          <w:b w:val="false"/>
          <w:color w:val="000000"/>
          <w:sz w:val="24"/>
          <w:u w:val="single"/>
        </w:rPr>
        <w:t>/s/ David Yablunosky</w:t>
      </w:r>
      <w:r>
        <w:rPr>
          <w:color w:val="000000"/>
          <w:u w:val="single"/>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David Yablunosky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01557/000114036124043179/ef20036737_ex3-1.htm" TargetMode="External"/><Relationship Id="rId3" Type="http://schemas.openxmlformats.org/officeDocument/2006/relationships/hyperlink" Target="https://www.sec.gov/Archives/edgar/data/2001557/000114036124043179/ef20036737_ex3-2.htm" TargetMode="External"/><Relationship Id="rId4" Type="http://schemas.openxmlformats.org/officeDocument/2006/relationships/hyperlink" Target="https://www.sec.gov/Archives/edgar/data/2001557/000162828025025892/inv-ex33innventureseriesbp.htm" TargetMode="External"/><Relationship Id="rId5" Type="http://schemas.openxmlformats.org/officeDocument/2006/relationships/hyperlink" Target="https://www.sec.gov/Archives/edgar/data/2001557/000114036125010165/ef20045914_ex3-1.htm" TargetMode="External"/><Relationship Id="rId6" Type="http://schemas.openxmlformats.org/officeDocument/2006/relationships/hyperlink" Target="https://www.sec.gov/Archives/edgar/data/2001557/000200155725000007/exhibit41-thirdconvertible.htm" TargetMode="External"/><Relationship Id="rId7" Type="http://schemas.openxmlformats.org/officeDocument/2006/relationships/hyperlink" Target="https://www.sec.gov/Archives/edgar/data/2001557/000200155725000007/exhibit41-thirdconvertible.htm" TargetMode="External"/><Relationship Id="rId8" Type="http://schemas.openxmlformats.org/officeDocument/2006/relationships/hyperlink" Target="https://www.sec.gov/Archives/edgar/data/2001557/000200155725000007/exhibit41-thirdconvertible.htm" TargetMode="External"/><Relationship Id="rId9" Type="http://schemas.openxmlformats.org/officeDocument/2006/relationships/hyperlink" Target="https://www.sec.gov/Archives/edgar/data/2001557/000200155725000007/exhibit41-thirdconvertible.htm" TargetMode="External"/><Relationship Id="rId10" Type="http://schemas.openxmlformats.org/officeDocument/2006/relationships/hyperlink" Target="https://www.sec.gov/Archives/edgar/data/2001557/000200155725000007/exhibit41-thirdconvertible.htm" TargetMode="External"/><Relationship Id="rId11" Type="http://schemas.openxmlformats.org/officeDocument/2006/relationships/hyperlink" Target="https://www.sec.gov/Archives/edgar/data/2001557/000200155725000007/exhibit41-thirdconvertible.htm" TargetMode="External"/><Relationship Id="rId12" Type="http://schemas.openxmlformats.org/officeDocument/2006/relationships/hyperlink" Target="https://www.sec.gov/Archives/edgar/data/2001557/000200155725000007/exhibit41-thirdconvertible.htm" TargetMode="External"/><Relationship Id="rId13" Type="http://schemas.openxmlformats.org/officeDocument/2006/relationships/hyperlink" Target="https://www.sec.gov/Archives/edgar/data/2001557/000200155725000007/exhibit101-securitiespurch.htm" TargetMode="External"/><Relationship Id="rId14" Type="http://schemas.openxmlformats.org/officeDocument/2006/relationships/hyperlink" Target="https://www.sec.gov/Archives/edgar/data/2001557/000200155725000007/exhibit101-securitiespurch.htm" TargetMode="External"/><Relationship Id="rId15" Type="http://schemas.openxmlformats.org/officeDocument/2006/relationships/hyperlink" Target="https://www.sec.gov/Archives/edgar/data/2001557/000200155725000007/exhibit101-securitiespurch.htm" TargetMode="External"/><Relationship Id="rId16" Type="http://schemas.openxmlformats.org/officeDocument/2006/relationships/hyperlink" Target="https://www.sec.gov/Archives/edgar/data/2001557/000200155725000007/exhibit101-securitiespurch.htm" TargetMode="External"/><Relationship Id="rId17" Type="http://schemas.openxmlformats.org/officeDocument/2006/relationships/hyperlink" Target="https://www.sec.gov/Archives/edgar/data/2001557/000200155725000007/exhibit101-securitiespurch.htm" TargetMode="External"/><Relationship Id="rId18" Type="http://schemas.openxmlformats.org/officeDocument/2006/relationships/hyperlink" Target="https://www.sec.gov/Archives/edgar/data/2001557/000200155725000007/exhibit101-securitiespurch.htm" TargetMode="External"/><Relationship Id="rId19" Type="http://schemas.openxmlformats.org/officeDocument/2006/relationships/hyperlink" Target="https://www.sec.gov/Archives/edgar/data/2001557/000200155725000007/exhibit102-globalguarantya.htm" TargetMode="External"/><Relationship Id="rId20" Type="http://schemas.openxmlformats.org/officeDocument/2006/relationships/hyperlink" Target="https://www.sec.gov/Archives/edgar/data/2001557/000200155725000007/exhibit102-globalguarantya.htm" TargetMode="External"/><Relationship Id="rId21" Type="http://schemas.openxmlformats.org/officeDocument/2006/relationships/hyperlink" Target="https://www.sec.gov/Archives/edgar/data/2001557/000200155725000007/exhibit102-globalguarantya.htm" TargetMode="External"/><Relationship Id="rId22" Type="http://schemas.openxmlformats.org/officeDocument/2006/relationships/hyperlink" Target="https://www.sec.gov/Archives/edgar/data/2001557/000200155725000007/exhibit102-globalguarantya.htm" TargetMode="External"/><Relationship Id="rId23" Type="http://schemas.openxmlformats.org/officeDocument/2006/relationships/hyperlink" Target="https://www.sec.gov/Archives/edgar/data/2001557/000200155725000007/exhibit102-globalguarantya.htm" TargetMode="External"/><Relationship Id="rId24" Type="http://schemas.openxmlformats.org/officeDocument/2006/relationships/hyperlink" Target="https://www.sec.gov/Archives/edgar/data/2001557/000200155725000007/exhibit102-globalguarantya.htm" TargetMode="External"/><Relationship Id="rId25" Type="http://schemas.openxmlformats.org/officeDocument/2006/relationships/hyperlink" Target="https://www.sec.gov/Archives/edgar/data/2001557/000200155725000007/exhibit102-globalguarantya.htm" TargetMode="External"/><Relationship Id="rId26" Type="http://schemas.openxmlformats.org/officeDocument/2006/relationships/hyperlink" Target="https://www.sec.gov/Archives/edgar/data/2001557/000200155725000007/exhibit102-globalguarantya.htm" TargetMode="External"/><Relationship Id="rId27" Type="http://schemas.openxmlformats.org/officeDocument/2006/relationships/hyperlink" Target="https://www.sec.gov/Archives/edgar/data/2001557/000200155725000007/exhibit102-globalguarantya.htm" TargetMode="External"/><Relationship Id="rId28" Type="http://schemas.openxmlformats.org/officeDocument/2006/relationships/hyperlink" Target="https://www.sec.gov/Archives/edgar/data/2001557/000200155725000007/exhibit102-globalguarantya.htm" TargetMode="External"/><Relationship Id="rId29" Type="http://schemas.openxmlformats.org/officeDocument/2006/relationships/hyperlink" Target="https://www.sec.gov/Archives/edgar/data/2001557/000200155725000007/exhibit102-globalguarantya.htm" TargetMode="External"/><Relationship Id="rId30" Type="http://schemas.openxmlformats.org/officeDocument/2006/relationships/hyperlink" Target="https://www.sec.gov/Archives/edgar/data/2001557/000200155725000007/exhibit103-registrationrig.htm" TargetMode="External"/><Relationship Id="rId31" Type="http://schemas.openxmlformats.org/officeDocument/2006/relationships/hyperlink" Target="https://www.sec.gov/Archives/edgar/data/2001557/000200155725000007/exhibit103-registrationrig.htm" TargetMode="External"/><Relationship Id="rId32" Type="http://schemas.openxmlformats.org/officeDocument/2006/relationships/hyperlink" Target="https://www.sec.gov/Archives/edgar/data/2001557/000200155725000007/exhibit103-registrationrig.htm" TargetMode="External"/><Relationship Id="rId33" Type="http://schemas.openxmlformats.org/officeDocument/2006/relationships/hyperlink" Target="https://www.sec.gov/Archives/edgar/data/2001557/000200155725000007/exhibit103-registrationrig.htm" TargetMode="External"/><Relationship Id="rId34" Type="http://schemas.openxmlformats.org/officeDocument/2006/relationships/hyperlink" Target="https://www.sec.gov/Archives/edgar/data/2001557/000200155725000007/exhibit103-registrationrig.htm" TargetMode="External"/><Relationship Id="rId35" Type="http://schemas.openxmlformats.org/officeDocument/2006/relationships/hyperlink" Target="https://www.sec.gov/Archives/edgar/data/2001557/000200155725000007/exhibit103-registrationrig.htm" TargetMode="External"/><Relationship Id="rId36" Type="http://schemas.openxmlformats.org/officeDocument/2006/relationships/hyperlink" Target="https://www.sec.gov/Archives/edgar/data/2001557/000200155725000007/exhibit103-registrationrig.htm" TargetMode="External"/><Relationship Id="rId37" Type="http://schemas.openxmlformats.org/officeDocument/2006/relationships/hyperlink" Target="https://www.sec.gov/Archives/edgar/data/2001557/000200155725000007/exhibit103-registrationrig.htm" TargetMode="External"/><Relationship Id="rId38" Type="http://schemas.openxmlformats.org/officeDocument/2006/relationships/hyperlink" Target="https://www.sec.gov/Archives/edgar/data/2001557/000200155725000007/exhibit104-amendmenttoconv.htm" TargetMode="External"/><Relationship Id="rId39" Type="http://schemas.openxmlformats.org/officeDocument/2006/relationships/hyperlink" Target="https://www.sec.gov/Archives/edgar/data/2001557/000200155725000007/exhibit104-amendmenttoconv.htm" TargetMode="External"/><Relationship Id="rId40" Type="http://schemas.openxmlformats.org/officeDocument/2006/relationships/hyperlink" Target="https://www.sec.gov/Archives/edgar/data/2001557/000200155725000007/exhibit104-amendmenttoconv.htm" TargetMode="External"/><Relationship Id="rId41" Type="http://schemas.openxmlformats.org/officeDocument/2006/relationships/hyperlink" Target="https://www.sec.gov/Archives/edgar/data/2001557/000200155725000007/exhibit104-amendmenttoconv.htm" TargetMode="External"/><Relationship Id="rId42" Type="http://schemas.openxmlformats.org/officeDocument/2006/relationships/hyperlink" Target="https://www.sec.gov/Archives/edgar/data/2001557/000200155725000007/exhibit104-amendmenttoconv.htm" TargetMode="External"/><Relationship Id="rId43" Type="http://schemas.openxmlformats.org/officeDocument/2006/relationships/hyperlink" Target="https://www.sec.gov/Archives/edgar/data/2001557/000200155725000007/exhibit104-amendmenttoconv.htm" TargetMode="External"/><Relationship Id="rId44" Type="http://schemas.openxmlformats.org/officeDocument/2006/relationships/hyperlink" Target="https://www.sec.gov/Archives/edgar/data/2001557/000200155725000007/exhibit104-amendmenttoconv.htm" TargetMode="External"/><Relationship Id="rId45" Type="http://schemas.openxmlformats.org/officeDocument/2006/relationships/hyperlink" Target="https://www.sec.gov/Archives/edgar/data/2001557/000200155725000007/exhibit104-amendmenttoconv.htm" TargetMode="External"/><Relationship Id="rId46" Type="http://schemas.openxmlformats.org/officeDocument/2006/relationships/hyperlink" Target="https://www.sec.gov/Archives/edgar/data/2001557/000200155725000007/exhibit104-amendmenttoconv.htm" TargetMode="External"/><Relationship Id="rId47" Type="http://schemas.openxmlformats.org/officeDocument/2006/relationships/hyperlink" Target="https://www.sec.gov/Archives/edgar/data/2001557/000200155725000007/exhibit104-amendmenttoconv.htm" TargetMode="External"/><Relationship Id="rId48" Type="http://schemas.openxmlformats.org/officeDocument/2006/relationships/hyperlink" Target="https://www.sec.gov/Archives/edgar/data/2001557/000200155725000007/exhibit104-amendmenttoconv.htm" TargetMode="External"/><Relationship Id="rId49" Type="http://schemas.openxmlformats.org/officeDocument/2006/relationships/hyperlink" Target="https://www.sec.gov/Archives/edgar/data/2001557/000162828025033614/exhibit101.htm" TargetMode="External"/><Relationship Id="rId50" Type="http://schemas.openxmlformats.org/officeDocument/2006/relationships/hyperlink" Target="https://www.sec.gov/Archives/edgar/data/2001557/000162828025033614/exhibit101.htm" TargetMode="External"/><Relationship Id="rId51" Type="http://schemas.openxmlformats.org/officeDocument/2006/relationships/hyperlink" Target="https://www.sec.gov/Archives/edgar/data/2001557/000162828025033614/exhibit101.htm" TargetMode="External"/><Relationship Id="rId52" Type="http://schemas.openxmlformats.org/officeDocument/2006/relationships/hyperlink" Target="https://www.sec.gov/Archives/edgar/data/2001557/000162828025033614/exhibit103.htm" TargetMode="External"/><Relationship Id="rId53" Type="http://schemas.openxmlformats.org/officeDocument/2006/relationships/hyperlink" Target="https://www.sec.gov/Archives/edgar/data/2001557/000162828025033614/exhibit103.htm" TargetMode="External"/><Relationship Id="rId54" Type="http://schemas.openxmlformats.org/officeDocument/2006/relationships/hyperlink" Target="https://www.sec.gov/Archives/edgar/data/2001557/000162828025033614/exhibit103.htm" TargetMode="External"/><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27835</Words>
  <Characters>155363</Characters>
  <CharactersWithSpaces>181878</CharactersWithSpaces>
  <Paragraphs>3618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